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393CAD69" w:rsidR="00790A03" w:rsidRPr="00A02BF0" w:rsidRDefault="00790A03" w:rsidP="00654F3B">
            <w:pPr>
              <w:spacing w:after="120"/>
              <w:ind w:left="900" w:right="144" w:hanging="756"/>
            </w:pPr>
            <w:r w:rsidRPr="00A02BF0">
              <w:rPr>
                <w:b/>
              </w:rPr>
              <w:t>Working Party:</w:t>
            </w:r>
            <w:r w:rsidRPr="00A02BF0">
              <w:t xml:space="preserve">  ITU-R WP</w:t>
            </w:r>
            <w:r w:rsidR="00996675">
              <w:t>5B</w:t>
            </w:r>
          </w:p>
        </w:tc>
        <w:tc>
          <w:tcPr>
            <w:tcW w:w="5409" w:type="dxa"/>
            <w:tcBorders>
              <w:right w:val="double" w:sz="6" w:space="0" w:color="auto"/>
            </w:tcBorders>
          </w:tcPr>
          <w:p w14:paraId="564891C5" w14:textId="20B3BBEF" w:rsidR="00790A03" w:rsidRPr="00A02BF0" w:rsidRDefault="00790A03" w:rsidP="00654F3B">
            <w:pPr>
              <w:spacing w:after="120"/>
              <w:ind w:left="144" w:right="144"/>
            </w:pPr>
            <w:r w:rsidRPr="00A02BF0">
              <w:rPr>
                <w:b/>
              </w:rPr>
              <w:t>Document No:</w:t>
            </w:r>
            <w:r w:rsidRPr="00A02BF0">
              <w:t xml:space="preserve">  </w:t>
            </w:r>
            <w:r w:rsidR="00516254">
              <w:rPr>
                <w:rStyle w:val="field-content"/>
              </w:rPr>
              <w:t xml:space="preserve"> </w:t>
            </w:r>
            <w:r w:rsidR="00403C3A" w:rsidRPr="00403C3A">
              <w:rPr>
                <w:rStyle w:val="field-content"/>
              </w:rPr>
              <w:t>USWP5B31-06_FD_</w:t>
            </w:r>
            <w:r w:rsidR="000F44B5">
              <w:rPr>
                <w:rStyle w:val="field-content"/>
              </w:rPr>
              <w:t>R1_</w:t>
            </w:r>
            <w:r w:rsidR="00403C3A" w:rsidRPr="00403C3A">
              <w:rPr>
                <w:rStyle w:val="field-content"/>
              </w:rPr>
              <w:t>THz Spec</w:t>
            </w:r>
          </w:p>
        </w:tc>
      </w:tr>
      <w:tr w:rsidR="00790A03" w:rsidRPr="00A02BF0" w14:paraId="2721504E" w14:textId="77777777" w:rsidTr="00B54F31">
        <w:trPr>
          <w:trHeight w:val="378"/>
        </w:trPr>
        <w:tc>
          <w:tcPr>
            <w:tcW w:w="3984" w:type="dxa"/>
            <w:tcBorders>
              <w:left w:val="double" w:sz="6" w:space="0" w:color="auto"/>
            </w:tcBorders>
          </w:tcPr>
          <w:p w14:paraId="028B1FEA" w14:textId="77777777" w:rsidR="006035EE" w:rsidRDefault="00790A03" w:rsidP="00790A03">
            <w:pPr>
              <w:ind w:left="144" w:right="144"/>
              <w:rPr>
                <w:lang w:eastAsia="zh-CN"/>
              </w:rPr>
            </w:pPr>
            <w:r w:rsidRPr="00A02BF0">
              <w:rPr>
                <w:b/>
              </w:rPr>
              <w:t>Ref</w:t>
            </w:r>
            <w:r w:rsidR="006035EE">
              <w:rPr>
                <w:b/>
              </w:rPr>
              <w:t xml:space="preserve">   </w:t>
            </w:r>
            <w:r w:rsidR="006035EE" w:rsidRPr="00FA23DB">
              <w:rPr>
                <w:lang w:eastAsia="zh-CN"/>
              </w:rPr>
              <w:t xml:space="preserve"> </w:t>
            </w:r>
          </w:p>
          <w:p w14:paraId="441D8967" w14:textId="2E53F966" w:rsidR="00790A03" w:rsidRPr="00A02BF0" w:rsidRDefault="006035EE" w:rsidP="00790A03">
            <w:pPr>
              <w:ind w:left="144" w:right="144"/>
            </w:pPr>
            <w:r w:rsidRPr="00FA23DB">
              <w:rPr>
                <w:lang w:eastAsia="zh-CN"/>
              </w:rPr>
              <w:t xml:space="preserve">Resolution </w:t>
            </w:r>
            <w:r w:rsidRPr="00FA23DB">
              <w:rPr>
                <w:b/>
                <w:bCs/>
                <w:lang w:eastAsia="zh-CN"/>
              </w:rPr>
              <w:t>731 (Rev.</w:t>
            </w:r>
            <w:r>
              <w:rPr>
                <w:b/>
                <w:bCs/>
                <w:lang w:eastAsia="zh-CN"/>
              </w:rPr>
              <w:t xml:space="preserve"> </w:t>
            </w:r>
            <w:r w:rsidRPr="00FA23DB">
              <w:rPr>
                <w:b/>
                <w:bCs/>
                <w:lang w:eastAsia="zh-CN"/>
              </w:rPr>
              <w:t>WRC-19</w:t>
            </w:r>
            <w:r>
              <w:rPr>
                <w:b/>
                <w:bCs/>
                <w:lang w:eastAsia="zh-CN"/>
              </w:rPr>
              <w:t>)</w:t>
            </w:r>
            <w:r w:rsidR="00790A03">
              <w:rPr>
                <w:b/>
              </w:rPr>
              <w:br/>
            </w:r>
            <w:r w:rsidR="00790A03" w:rsidRPr="00B96F28">
              <w:t xml:space="preserve"> </w:t>
            </w:r>
          </w:p>
        </w:tc>
        <w:tc>
          <w:tcPr>
            <w:tcW w:w="5409" w:type="dxa"/>
            <w:tcBorders>
              <w:right w:val="double" w:sz="6" w:space="0" w:color="auto"/>
            </w:tcBorders>
          </w:tcPr>
          <w:p w14:paraId="3C2D0B8F" w14:textId="3FD8D122" w:rsidR="00790A03" w:rsidRPr="00A02BF0" w:rsidRDefault="00790A03" w:rsidP="006D17BF">
            <w:pPr>
              <w:tabs>
                <w:tab w:val="left" w:pos="162"/>
              </w:tabs>
              <w:ind w:left="612" w:right="144" w:hanging="468"/>
            </w:pPr>
            <w:r w:rsidRPr="00A02BF0">
              <w:rPr>
                <w:b/>
              </w:rPr>
              <w:t>Date:</w:t>
            </w:r>
            <w:r w:rsidRPr="00A02BF0">
              <w:t xml:space="preserve">  </w:t>
            </w:r>
            <w:r w:rsidR="006035EE">
              <w:t>8</w:t>
            </w:r>
            <w:r w:rsidR="00C52078">
              <w:t xml:space="preserve"> </w:t>
            </w:r>
            <w:r w:rsidR="006035EE">
              <w:t>March</w:t>
            </w:r>
            <w:r w:rsidR="00D71557">
              <w:t xml:space="preserve"> </w:t>
            </w:r>
            <w:r w:rsidR="00C52078">
              <w:t>20</w:t>
            </w:r>
            <w:r w:rsidR="00654F3B">
              <w:t>2</w:t>
            </w:r>
            <w:r w:rsidR="006769D1">
              <w:t>3</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44B90211"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996675">
              <w:rPr>
                <w:b w:val="0"/>
                <w:lang w:eastAsia="zh-CN"/>
              </w:rPr>
              <w:t xml:space="preserve">Liaison Statement to </w:t>
            </w:r>
            <w:r w:rsidR="00996675" w:rsidRPr="00996675">
              <w:rPr>
                <w:b w:val="0"/>
                <w:lang w:eastAsia="zh-CN"/>
              </w:rPr>
              <w:t xml:space="preserve">WP </w:t>
            </w:r>
            <w:r w:rsidR="006035EE">
              <w:rPr>
                <w:b w:val="0"/>
                <w:lang w:eastAsia="zh-CN"/>
              </w:rPr>
              <w:t>1A, WP</w:t>
            </w:r>
            <w:r w:rsidR="00996675" w:rsidRPr="00996675">
              <w:rPr>
                <w:b w:val="0"/>
                <w:lang w:eastAsia="zh-CN"/>
              </w:rPr>
              <w:t>5A</w:t>
            </w:r>
            <w:r w:rsidR="00996675">
              <w:rPr>
                <w:b w:val="0"/>
                <w:lang w:eastAsia="zh-CN"/>
              </w:rPr>
              <w:t>,</w:t>
            </w:r>
            <w:r w:rsidR="00996675" w:rsidRPr="00996675">
              <w:rPr>
                <w:b w:val="0"/>
                <w:lang w:eastAsia="zh-CN"/>
              </w:rPr>
              <w:t xml:space="preserve"> WP 5C, WP 7C and WP 7D.</w:t>
            </w:r>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424C8DB6" w14:textId="77777777" w:rsidR="006035EE" w:rsidRDefault="006035EE" w:rsidP="00B54F31">
            <w:pPr>
              <w:ind w:left="144" w:right="144"/>
              <w:rPr>
                <w:bCs/>
                <w:iCs/>
              </w:rPr>
            </w:pPr>
          </w:p>
          <w:p w14:paraId="592E0721" w14:textId="08911E85" w:rsidR="00790A03" w:rsidRDefault="00996675" w:rsidP="00B54F31">
            <w:pPr>
              <w:ind w:left="144" w:right="144"/>
              <w:rPr>
                <w:bCs/>
                <w:iCs/>
              </w:rPr>
            </w:pPr>
            <w:r>
              <w:rPr>
                <w:bCs/>
                <w:iCs/>
              </w:rPr>
              <w:t>Michael Marcus</w:t>
            </w:r>
          </w:p>
          <w:p w14:paraId="55D465A9" w14:textId="5C71777B" w:rsidR="00790A03" w:rsidRDefault="00996675" w:rsidP="00B54F31">
            <w:pPr>
              <w:ind w:left="144" w:right="144"/>
              <w:rPr>
                <w:bCs/>
                <w:iCs/>
              </w:rPr>
            </w:pPr>
            <w:r>
              <w:rPr>
                <w:bCs/>
                <w:iCs/>
              </w:rPr>
              <w:t>Marcus Spectrum Solutions</w:t>
            </w:r>
          </w:p>
          <w:p w14:paraId="524F4167" w14:textId="77777777" w:rsidR="00790A03" w:rsidRPr="00A02BF0" w:rsidRDefault="00790A03" w:rsidP="006035EE">
            <w:pPr>
              <w:ind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335BB7A0" w14:textId="77777777" w:rsidR="006035EE" w:rsidRDefault="006035EE" w:rsidP="00B54F31">
            <w:pPr>
              <w:ind w:right="144"/>
              <w:rPr>
                <w:b/>
                <w:bCs/>
              </w:rPr>
            </w:pPr>
          </w:p>
          <w:p w14:paraId="48B24BED" w14:textId="0DE55E34" w:rsidR="00790A03" w:rsidRDefault="00790A03" w:rsidP="00B54F31">
            <w:pPr>
              <w:ind w:right="144"/>
              <w:rPr>
                <w:bCs/>
              </w:rPr>
            </w:pPr>
            <w:r w:rsidRPr="00A02BF0">
              <w:rPr>
                <w:b/>
                <w:bCs/>
              </w:rPr>
              <w:t>Email</w:t>
            </w:r>
            <w:r>
              <w:rPr>
                <w:bCs/>
              </w:rPr>
              <w:t xml:space="preserve">: </w:t>
            </w:r>
            <w:r w:rsidR="00996675">
              <w:rPr>
                <w:bCs/>
              </w:rPr>
              <w:t>mjmarcus@marcus-spectrum.com</w:t>
            </w:r>
            <w:r w:rsidRPr="00A02BF0">
              <w:rPr>
                <w:bCs/>
              </w:rPr>
              <w:br/>
            </w:r>
            <w:r w:rsidRPr="00A02BF0">
              <w:rPr>
                <w:b/>
                <w:bCs/>
              </w:rPr>
              <w:t>Phone</w:t>
            </w:r>
            <w:r w:rsidRPr="00A02BF0">
              <w:rPr>
                <w:bCs/>
              </w:rPr>
              <w:t>:</w:t>
            </w:r>
            <w:r>
              <w:rPr>
                <w:bCs/>
              </w:rPr>
              <w:t xml:space="preserve"> </w:t>
            </w:r>
            <w:r w:rsidR="00996675">
              <w:rPr>
                <w:bCs/>
              </w:rPr>
              <w:t>301-229-7714</w:t>
            </w:r>
            <w:r w:rsidRPr="00A02BF0">
              <w:rPr>
                <w:bCs/>
              </w:rPr>
              <w:br/>
            </w:r>
          </w:p>
          <w:p w14:paraId="0A0B00F8" w14:textId="5FB0BF63"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6914A348" w:rsidR="00790A03" w:rsidRPr="00A02BF0" w:rsidRDefault="00790A03" w:rsidP="00790A03">
            <w:pPr>
              <w:spacing w:after="120"/>
              <w:ind w:right="144"/>
            </w:pPr>
            <w:r w:rsidRPr="00A02BF0">
              <w:rPr>
                <w:b/>
              </w:rPr>
              <w:t>Purpose/Objective:</w:t>
            </w:r>
            <w:r w:rsidRPr="00A02BF0">
              <w:rPr>
                <w:bCs/>
              </w:rPr>
              <w:t xml:space="preserve"> </w:t>
            </w:r>
            <w:r w:rsidR="009D3088">
              <w:rPr>
                <w:bCs/>
              </w:rPr>
              <w:t xml:space="preserve">To </w:t>
            </w:r>
            <w:r w:rsidR="00996675">
              <w:rPr>
                <w:bCs/>
              </w:rPr>
              <w:t xml:space="preserve">begin consideration under the terms of Res. 731 of sharing by Terahertz Spectroscopy, an evolving radio determination service, of passive spectrum above 71 GHz </w:t>
            </w:r>
          </w:p>
        </w:tc>
      </w:tr>
      <w:tr w:rsidR="00790A03" w:rsidRPr="00A02BF0" w14:paraId="1E04D48E" w14:textId="77777777" w:rsidTr="00ED3793">
        <w:trPr>
          <w:trHeight w:val="4076"/>
        </w:trPr>
        <w:tc>
          <w:tcPr>
            <w:tcW w:w="9393" w:type="dxa"/>
            <w:gridSpan w:val="2"/>
            <w:tcBorders>
              <w:left w:val="double" w:sz="6" w:space="0" w:color="auto"/>
              <w:bottom w:val="single" w:sz="12" w:space="0" w:color="auto"/>
              <w:right w:val="double" w:sz="6" w:space="0" w:color="auto"/>
            </w:tcBorders>
          </w:tcPr>
          <w:p w14:paraId="01A7D0E0" w14:textId="4BC4F738" w:rsidR="00790A03" w:rsidRPr="00A02BF0" w:rsidRDefault="00790A03" w:rsidP="00ED3793">
            <w:pPr>
              <w:tabs>
                <w:tab w:val="left" w:pos="794"/>
                <w:tab w:val="left" w:pos="1191"/>
                <w:tab w:val="left" w:pos="1588"/>
                <w:tab w:val="left" w:pos="1985"/>
              </w:tabs>
              <w:suppressAutoHyphens/>
              <w:rPr>
                <w:bCs/>
              </w:rPr>
            </w:pPr>
            <w:r w:rsidRPr="00A02BF0">
              <w:rPr>
                <w:b/>
              </w:rPr>
              <w:t>Abstract:</w:t>
            </w:r>
            <w:r w:rsidRPr="00A02BF0">
              <w:rPr>
                <w:bCs/>
              </w:rPr>
              <w:t xml:space="preserve">  </w:t>
            </w:r>
            <w:r w:rsidR="00996675">
              <w:rPr>
                <w:bCs/>
              </w:rPr>
              <w:t xml:space="preserve"> Terahertz Spectroscopy, is a very short range, </w:t>
            </w:r>
            <w:r w:rsidR="002721C2" w:rsidRPr="002721C2">
              <w:rPr>
                <w:bCs/>
              </w:rPr>
              <w:t>typically less than 1 m</w:t>
            </w:r>
            <w:r w:rsidR="00996675">
              <w:rPr>
                <w:bCs/>
              </w:rPr>
              <w:t>, nondestructive testing technology that meets the definition of a radiodetermination service.  It needs large contiguous bloc</w:t>
            </w:r>
            <w:r w:rsidR="00ED3793">
              <w:rPr>
                <w:bCs/>
              </w:rPr>
              <w:t xml:space="preserve">ks of spectrum above 71 GHz </w:t>
            </w:r>
            <w:r w:rsidR="005511DE">
              <w:rPr>
                <w:bCs/>
              </w:rPr>
              <w:t xml:space="preserve">to sense unique spectral information </w:t>
            </w:r>
            <w:r w:rsidR="005F539E">
              <w:rPr>
                <w:bCs/>
              </w:rPr>
              <w:t xml:space="preserve">about materials </w:t>
            </w:r>
            <w:r w:rsidR="00ED3793">
              <w:rPr>
                <w:bCs/>
              </w:rPr>
              <w:t xml:space="preserve">which </w:t>
            </w:r>
            <w:r w:rsidR="005511DE">
              <w:rPr>
                <w:bCs/>
              </w:rPr>
              <w:t xml:space="preserve">may fall into </w:t>
            </w:r>
            <w:r w:rsidR="005F539E">
              <w:rPr>
                <w:bCs/>
              </w:rPr>
              <w:t>bands</w:t>
            </w:r>
            <w:r w:rsidR="005511DE">
              <w:rPr>
                <w:bCs/>
              </w:rPr>
              <w:t xml:space="preserve"> that are covered by </w:t>
            </w:r>
            <w:r w:rsidR="00ED3793">
              <w:rPr>
                <w:bCs/>
              </w:rPr>
              <w:t xml:space="preserve">the present terms of </w:t>
            </w:r>
            <w:r w:rsidR="00ED3793">
              <w:rPr>
                <w:b/>
              </w:rPr>
              <w:t>5.340</w:t>
            </w:r>
            <w:r w:rsidR="00ED3793" w:rsidRPr="004441CA">
              <w:rPr>
                <w:bCs/>
              </w:rPr>
              <w:t xml:space="preserve">. </w:t>
            </w:r>
            <w:r w:rsidR="00ED3793" w:rsidRPr="00ED3793">
              <w:rPr>
                <w:bCs/>
              </w:rPr>
              <w:t xml:space="preserve">Res. </w:t>
            </w:r>
            <w:r w:rsidR="00ED3793" w:rsidRPr="004441CA">
              <w:rPr>
                <w:b/>
              </w:rPr>
              <w:t>731</w:t>
            </w:r>
            <w:r w:rsidR="00ED3793">
              <w:rPr>
                <w:bCs/>
              </w:rPr>
              <w:t xml:space="preserve"> provides a mechanism to determine if sharing without harmful </w:t>
            </w:r>
            <w:r w:rsidR="005511DE">
              <w:rPr>
                <w:bCs/>
              </w:rPr>
              <w:t xml:space="preserve">interference </w:t>
            </w:r>
            <w:r w:rsidR="00ED3793">
              <w:rPr>
                <w:bCs/>
              </w:rPr>
              <w:t xml:space="preserve">is possible and a path to enable such sharing.  CEPT has recently completed </w:t>
            </w:r>
            <w:r w:rsidR="00ED3793" w:rsidRPr="00ED3793">
              <w:rPr>
                <w:bCs/>
              </w:rPr>
              <w:t>ECC Decision (22)03</w:t>
            </w:r>
            <w:r w:rsidR="00ED3793">
              <w:rPr>
                <w:bCs/>
              </w:rPr>
              <w:t xml:space="preserve"> which included a detailed emission standard for this spectrum use which it calls “</w:t>
            </w:r>
            <w:r w:rsidR="00ED3793" w:rsidRPr="00ED3793">
              <w:rPr>
                <w:bCs/>
              </w:rPr>
              <w:t>Radiodetermination systems for industry automation in shielded environments (RDI-S)</w:t>
            </w:r>
            <w:r w:rsidR="00ED3793">
              <w:rPr>
                <w:bCs/>
              </w:rPr>
              <w:t>”.  The LS statement seeks a dialogue on this sharing issue and whether the levels in the CEPT document are an acceptable basis.</w:t>
            </w:r>
            <w:r w:rsidR="00ED3793" w:rsidRPr="00ED3793">
              <w:rPr>
                <w:bCs/>
              </w:rPr>
              <w:t xml:space="preserve"> </w:t>
            </w:r>
            <w:r w:rsidR="00ED3793">
              <w:rPr>
                <w:bCs/>
              </w:rPr>
              <w:t xml:space="preserve"> </w:t>
            </w:r>
          </w:p>
        </w:tc>
      </w:tr>
    </w:tbl>
    <w:p w14:paraId="3A5B0163" w14:textId="466F67CE" w:rsidR="00962C44" w:rsidRDefault="00962C44"/>
    <w:p w14:paraId="3AEE1F08" w14:textId="5F740BCB" w:rsidR="0023016B" w:rsidRDefault="0023016B">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016B" w:rsidRPr="007205AC" w14:paraId="303F0C9F" w14:textId="77777777" w:rsidTr="00D72044">
        <w:trPr>
          <w:cantSplit/>
        </w:trPr>
        <w:tc>
          <w:tcPr>
            <w:tcW w:w="6487" w:type="dxa"/>
            <w:vAlign w:val="center"/>
          </w:tcPr>
          <w:p w14:paraId="2AE454DC" w14:textId="77777777" w:rsidR="0023016B" w:rsidRPr="007205AC" w:rsidRDefault="0023016B" w:rsidP="00D72044">
            <w:pPr>
              <w:shd w:val="solid" w:color="FFFFFF" w:fill="FFFFFF"/>
              <w:rPr>
                <w:rFonts w:ascii="Verdana" w:hAnsi="Verdana" w:cs="Times New Roman Bold"/>
                <w:b/>
                <w:bCs/>
                <w:sz w:val="26"/>
                <w:szCs w:val="26"/>
              </w:rPr>
            </w:pPr>
            <w:r w:rsidRPr="007205AC">
              <w:rPr>
                <w:rFonts w:ascii="Verdana" w:hAnsi="Verdana" w:cs="Times New Roman Bold"/>
                <w:b/>
                <w:bCs/>
                <w:sz w:val="26"/>
                <w:szCs w:val="26"/>
              </w:rPr>
              <w:t>Radiocommunication Study Groups</w:t>
            </w:r>
          </w:p>
        </w:tc>
        <w:tc>
          <w:tcPr>
            <w:tcW w:w="3402" w:type="dxa"/>
          </w:tcPr>
          <w:p w14:paraId="14984295" w14:textId="77777777" w:rsidR="0023016B" w:rsidRPr="007205AC" w:rsidRDefault="0023016B" w:rsidP="00D72044">
            <w:pPr>
              <w:shd w:val="solid" w:color="FFFFFF" w:fill="FFFFFF"/>
              <w:spacing w:line="240" w:lineRule="atLeast"/>
            </w:pPr>
            <w:r w:rsidRPr="007205AC">
              <w:rPr>
                <w:noProof/>
                <w:lang w:eastAsia="en-GB"/>
              </w:rPr>
              <w:drawing>
                <wp:inline distT="0" distB="0" distL="0" distR="0" wp14:anchorId="430152E0" wp14:editId="24D52123">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016B" w:rsidRPr="007205AC" w14:paraId="7C3C696E" w14:textId="77777777" w:rsidTr="00D72044">
        <w:trPr>
          <w:cantSplit/>
        </w:trPr>
        <w:tc>
          <w:tcPr>
            <w:tcW w:w="6487" w:type="dxa"/>
            <w:tcBorders>
              <w:bottom w:val="single" w:sz="12" w:space="0" w:color="auto"/>
            </w:tcBorders>
          </w:tcPr>
          <w:p w14:paraId="7DD3F5F7" w14:textId="77777777" w:rsidR="0023016B" w:rsidRPr="007205AC" w:rsidRDefault="0023016B" w:rsidP="00D72044">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7900C80" w14:textId="77777777" w:rsidR="0023016B" w:rsidRPr="007205AC" w:rsidRDefault="0023016B" w:rsidP="00D72044">
            <w:pPr>
              <w:shd w:val="solid" w:color="FFFFFF" w:fill="FFFFFF"/>
              <w:spacing w:after="48" w:line="240" w:lineRule="atLeast"/>
              <w:rPr>
                <w:sz w:val="22"/>
                <w:szCs w:val="22"/>
              </w:rPr>
            </w:pPr>
          </w:p>
        </w:tc>
      </w:tr>
      <w:tr w:rsidR="0023016B" w:rsidRPr="007205AC" w14:paraId="19BF36D5" w14:textId="77777777" w:rsidTr="00D72044">
        <w:trPr>
          <w:cantSplit/>
        </w:trPr>
        <w:tc>
          <w:tcPr>
            <w:tcW w:w="6487" w:type="dxa"/>
            <w:tcBorders>
              <w:top w:val="single" w:sz="12" w:space="0" w:color="auto"/>
            </w:tcBorders>
          </w:tcPr>
          <w:p w14:paraId="34A5A67C" w14:textId="77777777" w:rsidR="0023016B" w:rsidRPr="007205AC" w:rsidRDefault="0023016B" w:rsidP="00D72044">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51F0B0E6" w14:textId="77777777" w:rsidR="0023016B" w:rsidRPr="007205AC" w:rsidRDefault="0023016B" w:rsidP="00D72044">
            <w:pPr>
              <w:shd w:val="solid" w:color="FFFFFF" w:fill="FFFFFF"/>
              <w:spacing w:after="48" w:line="240" w:lineRule="atLeast"/>
            </w:pPr>
          </w:p>
        </w:tc>
      </w:tr>
      <w:tr w:rsidR="0023016B" w:rsidRPr="007205AC" w14:paraId="4951B620" w14:textId="77777777" w:rsidTr="00D72044">
        <w:trPr>
          <w:cantSplit/>
        </w:trPr>
        <w:tc>
          <w:tcPr>
            <w:tcW w:w="6487" w:type="dxa"/>
            <w:vMerge w:val="restart"/>
          </w:tcPr>
          <w:p w14:paraId="57A74399" w14:textId="77777777" w:rsidR="0023016B" w:rsidRPr="007205AC" w:rsidRDefault="0023016B" w:rsidP="00D72044">
            <w:pPr>
              <w:shd w:val="clear" w:color="auto" w:fill="FFFFFF"/>
              <w:spacing w:after="240"/>
              <w:ind w:left="1134" w:hanging="1134"/>
              <w:rPr>
                <w:rFonts w:ascii="Verdana" w:eastAsia="Verdana" w:hAnsi="Verdana" w:cs="Verdana"/>
                <w:sz w:val="20"/>
              </w:rPr>
            </w:pPr>
            <w:r w:rsidRPr="007205AC">
              <w:rPr>
                <w:rFonts w:ascii="Verdana" w:eastAsia="Verdana" w:hAnsi="Verdana" w:cs="Verdana"/>
                <w:sz w:val="20"/>
              </w:rPr>
              <w:t xml:space="preserve">Received: </w:t>
            </w:r>
            <w:r w:rsidRPr="007205AC">
              <w:rPr>
                <w:rFonts w:ascii="Verdana" w:eastAsia="Verdana" w:hAnsi="Verdana" w:cs="Verdana"/>
                <w:sz w:val="20"/>
              </w:rPr>
              <w:tab/>
            </w:r>
          </w:p>
          <w:p w14:paraId="46D92397" w14:textId="72AE880A" w:rsidR="0023016B" w:rsidRPr="007205AC" w:rsidRDefault="0023016B" w:rsidP="00D72044">
            <w:pPr>
              <w:shd w:val="solid" w:color="FFFFFF" w:fill="FFFFFF"/>
              <w:spacing w:after="240"/>
              <w:ind w:left="1134" w:hanging="1134"/>
              <w:rPr>
                <w:rFonts w:ascii="Verdana" w:hAnsi="Verdana"/>
                <w:sz w:val="20"/>
              </w:rPr>
            </w:pPr>
            <w:r w:rsidRPr="007205AC">
              <w:rPr>
                <w:rFonts w:ascii="Verdana" w:eastAsia="Verdana" w:hAnsi="Verdana" w:cs="Verdana"/>
                <w:sz w:val="20"/>
              </w:rPr>
              <w:t xml:space="preserve">Source: </w:t>
            </w:r>
            <w:r w:rsidRPr="007205AC">
              <w:rPr>
                <w:rFonts w:ascii="Verdana" w:eastAsia="Verdana" w:hAnsi="Verdana" w:cs="Verdana"/>
                <w:sz w:val="20"/>
              </w:rPr>
              <w:tab/>
            </w:r>
            <w:r>
              <w:t xml:space="preserve"> </w:t>
            </w:r>
          </w:p>
        </w:tc>
        <w:tc>
          <w:tcPr>
            <w:tcW w:w="3402" w:type="dxa"/>
          </w:tcPr>
          <w:p w14:paraId="13373DFC" w14:textId="2194495B" w:rsidR="0023016B" w:rsidRPr="007205AC" w:rsidRDefault="0023016B" w:rsidP="00D72044">
            <w:pPr>
              <w:shd w:val="solid" w:color="FFFFFF" w:fill="FFFFFF"/>
              <w:spacing w:line="240" w:lineRule="atLeast"/>
              <w:rPr>
                <w:rFonts w:ascii="Verdana" w:hAnsi="Verdana"/>
                <w:sz w:val="20"/>
                <w:lang w:eastAsia="zh-CN"/>
              </w:rPr>
            </w:pPr>
            <w:r w:rsidRPr="007205AC">
              <w:rPr>
                <w:rFonts w:ascii="Verdana" w:hAnsi="Verdana"/>
                <w:b/>
                <w:sz w:val="20"/>
                <w:lang w:eastAsia="zh-CN"/>
              </w:rPr>
              <w:t xml:space="preserve">Document </w:t>
            </w:r>
            <w:r>
              <w:rPr>
                <w:rFonts w:ascii="Verdana" w:hAnsi="Verdana"/>
                <w:b/>
                <w:sz w:val="20"/>
                <w:lang w:eastAsia="zh-CN"/>
              </w:rPr>
              <w:t>5B</w:t>
            </w:r>
            <w:r w:rsidRPr="007205AC">
              <w:rPr>
                <w:rFonts w:ascii="Verdana" w:hAnsi="Verdana"/>
                <w:b/>
                <w:sz w:val="20"/>
                <w:lang w:eastAsia="zh-CN"/>
              </w:rPr>
              <w:t>/</w:t>
            </w:r>
          </w:p>
        </w:tc>
      </w:tr>
      <w:tr w:rsidR="0023016B" w:rsidRPr="007205AC" w14:paraId="03AC778A" w14:textId="77777777" w:rsidTr="00D72044">
        <w:trPr>
          <w:cantSplit/>
        </w:trPr>
        <w:tc>
          <w:tcPr>
            <w:tcW w:w="6487" w:type="dxa"/>
            <w:vMerge/>
          </w:tcPr>
          <w:p w14:paraId="5EC4D1B3" w14:textId="77777777" w:rsidR="0023016B" w:rsidRPr="007205AC" w:rsidRDefault="0023016B" w:rsidP="00D72044">
            <w:pPr>
              <w:spacing w:before="60"/>
              <w:jc w:val="center"/>
              <w:rPr>
                <w:b/>
                <w:smallCaps/>
                <w:sz w:val="32"/>
                <w:lang w:eastAsia="zh-CN"/>
              </w:rPr>
            </w:pPr>
          </w:p>
        </w:tc>
        <w:tc>
          <w:tcPr>
            <w:tcW w:w="3402" w:type="dxa"/>
          </w:tcPr>
          <w:p w14:paraId="3FADA555" w14:textId="77777777" w:rsidR="0023016B" w:rsidRPr="007205AC" w:rsidRDefault="0023016B" w:rsidP="00D72044">
            <w:pPr>
              <w:shd w:val="solid" w:color="FFFFFF" w:fill="FFFFFF"/>
              <w:spacing w:line="240" w:lineRule="atLeast"/>
              <w:rPr>
                <w:rFonts w:ascii="Verdana" w:hAnsi="Verdana"/>
                <w:sz w:val="20"/>
                <w:lang w:eastAsia="zh-CN"/>
              </w:rPr>
            </w:pPr>
            <w:r>
              <w:rPr>
                <w:rFonts w:ascii="Verdana" w:hAnsi="Verdana"/>
                <w:b/>
                <w:sz w:val="20"/>
                <w:lang w:eastAsia="zh-CN"/>
              </w:rPr>
              <w:t>______</w:t>
            </w:r>
            <w:r w:rsidRPr="007205AC">
              <w:rPr>
                <w:rFonts w:ascii="Verdana" w:hAnsi="Verdana"/>
                <w:b/>
                <w:sz w:val="20"/>
                <w:lang w:eastAsia="zh-CN"/>
              </w:rPr>
              <w:t xml:space="preserve"> 202</w:t>
            </w:r>
            <w:r>
              <w:rPr>
                <w:rFonts w:ascii="Verdana" w:hAnsi="Verdana"/>
                <w:b/>
                <w:sz w:val="20"/>
                <w:lang w:eastAsia="zh-CN"/>
              </w:rPr>
              <w:t>3</w:t>
            </w:r>
          </w:p>
        </w:tc>
      </w:tr>
      <w:tr w:rsidR="0023016B" w:rsidRPr="007205AC" w14:paraId="66D7F665" w14:textId="77777777" w:rsidTr="00D72044">
        <w:trPr>
          <w:cantSplit/>
        </w:trPr>
        <w:tc>
          <w:tcPr>
            <w:tcW w:w="6487" w:type="dxa"/>
            <w:vMerge/>
          </w:tcPr>
          <w:p w14:paraId="0A728B74" w14:textId="77777777" w:rsidR="0023016B" w:rsidRPr="007205AC" w:rsidRDefault="0023016B" w:rsidP="00D72044">
            <w:pPr>
              <w:spacing w:before="60"/>
              <w:jc w:val="center"/>
              <w:rPr>
                <w:b/>
                <w:smallCaps/>
                <w:sz w:val="32"/>
                <w:lang w:eastAsia="zh-CN"/>
              </w:rPr>
            </w:pPr>
          </w:p>
        </w:tc>
        <w:tc>
          <w:tcPr>
            <w:tcW w:w="3402" w:type="dxa"/>
          </w:tcPr>
          <w:p w14:paraId="675C9BF5" w14:textId="77777777" w:rsidR="0023016B" w:rsidRPr="007205AC" w:rsidRDefault="0023016B" w:rsidP="00D72044">
            <w:pPr>
              <w:shd w:val="solid" w:color="FFFFFF" w:fill="FFFFFF"/>
              <w:spacing w:line="240" w:lineRule="atLeast"/>
              <w:rPr>
                <w:rFonts w:ascii="Verdana" w:eastAsia="SimSun" w:hAnsi="Verdana"/>
                <w:sz w:val="20"/>
                <w:lang w:eastAsia="zh-CN"/>
              </w:rPr>
            </w:pPr>
            <w:r w:rsidRPr="007205AC">
              <w:rPr>
                <w:rFonts w:ascii="Verdana" w:eastAsia="SimSun" w:hAnsi="Verdana"/>
                <w:b/>
                <w:sz w:val="20"/>
                <w:lang w:eastAsia="zh-CN"/>
              </w:rPr>
              <w:t>English only</w:t>
            </w:r>
          </w:p>
        </w:tc>
      </w:tr>
      <w:tr w:rsidR="0023016B" w:rsidRPr="007205AC" w14:paraId="5888468E" w14:textId="77777777" w:rsidTr="00D72044">
        <w:trPr>
          <w:cantSplit/>
        </w:trPr>
        <w:tc>
          <w:tcPr>
            <w:tcW w:w="9889" w:type="dxa"/>
            <w:gridSpan w:val="2"/>
          </w:tcPr>
          <w:p w14:paraId="06146C38" w14:textId="77777777" w:rsidR="0023016B" w:rsidRPr="007205AC" w:rsidRDefault="0023016B" w:rsidP="00D72044">
            <w:pPr>
              <w:pStyle w:val="Source"/>
              <w:rPr>
                <w:lang w:val="en-US" w:eastAsia="zh-CN"/>
              </w:rPr>
            </w:pPr>
            <w:r w:rsidRPr="007205AC">
              <w:rPr>
                <w:color w:val="000000"/>
                <w:szCs w:val="28"/>
                <w:lang w:val="en-US"/>
              </w:rPr>
              <w:t>United States of America</w:t>
            </w:r>
          </w:p>
        </w:tc>
      </w:tr>
      <w:tr w:rsidR="0023016B" w:rsidRPr="007205AC" w14:paraId="38A57AD0" w14:textId="77777777" w:rsidTr="00D72044">
        <w:trPr>
          <w:cantSplit/>
        </w:trPr>
        <w:tc>
          <w:tcPr>
            <w:tcW w:w="9889" w:type="dxa"/>
            <w:gridSpan w:val="2"/>
          </w:tcPr>
          <w:p w14:paraId="63BF301B" w14:textId="4ED96FB1" w:rsidR="0023016B" w:rsidRPr="007205AC" w:rsidRDefault="0023016B" w:rsidP="0023016B">
            <w:pPr>
              <w:pStyle w:val="Title1"/>
              <w:rPr>
                <w:lang w:val="en-US" w:eastAsia="zh-CN"/>
              </w:rPr>
            </w:pPr>
            <w:r w:rsidRPr="00CF641B">
              <w:rPr>
                <w:lang w:eastAsia="zh-CN"/>
              </w:rPr>
              <w:t>PROPOSED liaison statement to</w:t>
            </w:r>
            <w:r w:rsidR="000F44B5" w:rsidRPr="00CF641B">
              <w:rPr>
                <w:lang w:eastAsia="zh-CN"/>
              </w:rPr>
              <w:t xml:space="preserve"> </w:t>
            </w:r>
            <w:r w:rsidR="000F44B5" w:rsidRPr="00CF641B">
              <w:rPr>
                <w:lang w:eastAsia="zh-CN"/>
              </w:rPr>
              <w:t xml:space="preserve">Working Parties 1A, 5A, 5C, 7C and 7D ON </w:t>
            </w:r>
            <w:r w:rsidRPr="00CF641B">
              <w:rPr>
                <w:lang w:eastAsia="zh-CN"/>
              </w:rPr>
              <w:t xml:space="preserve"> </w:t>
            </w:r>
          </w:p>
        </w:tc>
      </w:tr>
      <w:tr w:rsidR="0023016B" w:rsidRPr="007205AC" w14:paraId="2D2783FB" w14:textId="77777777" w:rsidTr="00D72044">
        <w:trPr>
          <w:cantSplit/>
        </w:trPr>
        <w:tc>
          <w:tcPr>
            <w:tcW w:w="9889" w:type="dxa"/>
            <w:gridSpan w:val="2"/>
          </w:tcPr>
          <w:p w14:paraId="3F6552D5" w14:textId="6A47CC43" w:rsidR="0023016B" w:rsidRPr="007205AC" w:rsidRDefault="000F44B5" w:rsidP="0023016B">
            <w:pPr>
              <w:pStyle w:val="Title4"/>
              <w:rPr>
                <w:lang w:val="en-US" w:eastAsia="zh-CN"/>
              </w:rPr>
            </w:pPr>
            <w:r>
              <w:rPr>
                <w:lang w:eastAsia="zh-CN"/>
              </w:rPr>
              <w:t>S</w:t>
            </w:r>
            <w:r w:rsidRPr="00FA23DB">
              <w:rPr>
                <w:lang w:eastAsia="zh-CN"/>
              </w:rPr>
              <w:t xml:space="preserve">tudies under </w:t>
            </w:r>
            <w:r>
              <w:rPr>
                <w:lang w:eastAsia="zh-CN"/>
              </w:rPr>
              <w:t>R</w:t>
            </w:r>
            <w:r w:rsidRPr="00FA23DB">
              <w:rPr>
                <w:lang w:eastAsia="zh-CN"/>
              </w:rPr>
              <w:t>esolution 731 (Rev.</w:t>
            </w:r>
            <w:r>
              <w:rPr>
                <w:lang w:eastAsia="zh-CN"/>
              </w:rPr>
              <w:t xml:space="preserve"> </w:t>
            </w:r>
            <w:r w:rsidRPr="00FA23DB">
              <w:rPr>
                <w:lang w:eastAsia="zh-CN"/>
              </w:rPr>
              <w:t>WRC-19)</w:t>
            </w:r>
            <w:r>
              <w:rPr>
                <w:lang w:eastAsia="zh-CN"/>
              </w:rPr>
              <w:t xml:space="preserve"> on</w:t>
            </w:r>
            <w:r w:rsidRPr="00FA23DB">
              <w:rPr>
                <w:lang w:eastAsia="zh-CN"/>
              </w:rPr>
              <w:t xml:space="preserve"> sharing and compatibility </w:t>
            </w:r>
            <w:r w:rsidRPr="00FA23DB">
              <w:rPr>
                <w:lang w:eastAsia="zh-CN"/>
              </w:rPr>
              <w:br/>
              <w:t>between passive and active services above 71 GHz</w:t>
            </w:r>
            <w:r>
              <w:rPr>
                <w:lang w:eastAsia="zh-CN"/>
              </w:rPr>
              <w:t xml:space="preserve"> in the case of very short range indoor radiodetermination systems</w:t>
            </w:r>
          </w:p>
        </w:tc>
      </w:tr>
    </w:tbl>
    <w:p w14:paraId="5FFEFC6A" w14:textId="30B2165E" w:rsidR="0023016B" w:rsidRDefault="0023016B" w:rsidP="0023016B">
      <w:pPr>
        <w:pStyle w:val="Headingb"/>
        <w:rPr>
          <w:rFonts w:eastAsia="Times"/>
          <w:lang w:val="en-US"/>
        </w:rPr>
      </w:pPr>
      <w:r w:rsidRPr="007205AC">
        <w:rPr>
          <w:rFonts w:eastAsia="Times"/>
          <w:lang w:val="en-US"/>
        </w:rPr>
        <w:t>Background</w:t>
      </w:r>
    </w:p>
    <w:p w14:paraId="3B10D603" w14:textId="77777777" w:rsidR="0023016B" w:rsidRPr="0023016B" w:rsidRDefault="0023016B" w:rsidP="0023016B">
      <w:pPr>
        <w:rPr>
          <w:rFonts w:eastAsia="Times"/>
        </w:rPr>
      </w:pPr>
    </w:p>
    <w:p w14:paraId="5C4D77E2" w14:textId="17521658" w:rsidR="0023016B" w:rsidRPr="000F44B5" w:rsidRDefault="0023016B" w:rsidP="0023016B">
      <w:pPr>
        <w:jc w:val="both"/>
      </w:pPr>
      <w:r>
        <w:rPr>
          <w:lang w:eastAsia="zh-CN"/>
        </w:rPr>
        <w:t>A</w:t>
      </w:r>
      <w:r>
        <w:rPr>
          <w:lang w:eastAsia="zh-CN"/>
        </w:rPr>
        <w:t xml:space="preserve"> very wideband, very short range radiodetermination generally indoor transmitter application above 71 GHz</w:t>
      </w:r>
      <w:r>
        <w:rPr>
          <w:lang w:eastAsia="zh-CN"/>
        </w:rPr>
        <w:t xml:space="preserve">, </w:t>
      </w:r>
      <w:r>
        <w:rPr>
          <w:lang w:eastAsia="zh-CN"/>
        </w:rPr>
        <w:t>variously called “Terahertz Spectroscopy” or “</w:t>
      </w:r>
      <w:r w:rsidRPr="006A6CE1">
        <w:rPr>
          <w:lang w:val="en-GB"/>
        </w:rPr>
        <w:t>Radiodetermination systems for industry automation in shielded environments (RDI-S)</w:t>
      </w:r>
      <w:r>
        <w:rPr>
          <w:lang w:val="en-GB"/>
        </w:rPr>
        <w:t>”</w:t>
      </w:r>
      <w:r>
        <w:rPr>
          <w:lang w:val="en-GB"/>
        </w:rPr>
        <w:t xml:space="preserve">, has been developed in several countries for uses in research and in real time non-destructive quality control of various manufacturing processes to improve industrial productivity.  Many uses of this technology require uses of spectrum that is forbidden under the present terms of </w:t>
      </w:r>
      <w:r>
        <w:rPr>
          <w:b/>
          <w:bCs/>
          <w:lang w:val="en-GB"/>
        </w:rPr>
        <w:t xml:space="preserve">5.340 </w:t>
      </w:r>
      <w:r>
        <w:rPr>
          <w:lang w:val="en-GB"/>
        </w:rPr>
        <w:t xml:space="preserve">but </w:t>
      </w:r>
      <w:r w:rsidR="0098279C">
        <w:rPr>
          <w:lang w:val="en-GB"/>
        </w:rPr>
        <w:t>could</w:t>
      </w:r>
      <w:r>
        <w:rPr>
          <w:lang w:val="en-GB"/>
        </w:rPr>
        <w:t xml:space="preserve"> be usable if ITU-R could find emission limits under the terms of Res. </w:t>
      </w:r>
      <w:r w:rsidRPr="0023016B">
        <w:rPr>
          <w:b/>
          <w:bCs/>
          <w:lang w:val="en-GB"/>
        </w:rPr>
        <w:t>731</w:t>
      </w:r>
      <w:r>
        <w:rPr>
          <w:lang w:val="en-GB"/>
        </w:rPr>
        <w:t xml:space="preserve"> </w:t>
      </w:r>
      <w:r w:rsidRPr="00FA23DB">
        <w:rPr>
          <w:lang w:eastAsia="zh-CN"/>
        </w:rPr>
        <w:t>(Rev.</w:t>
      </w:r>
      <w:r>
        <w:rPr>
          <w:lang w:eastAsia="zh-CN"/>
        </w:rPr>
        <w:t xml:space="preserve"> </w:t>
      </w:r>
      <w:r w:rsidRPr="00FA23DB">
        <w:rPr>
          <w:lang w:eastAsia="zh-CN"/>
        </w:rPr>
        <w:t>WRC-19)</w:t>
      </w:r>
      <w:r>
        <w:rPr>
          <w:lang w:eastAsia="zh-CN"/>
        </w:rPr>
        <w:t xml:space="preserve"> that protects passive services from harmful interference. </w:t>
      </w:r>
      <w:r>
        <w:rPr>
          <w:lang w:val="en-GB" w:eastAsia="zh-CN"/>
        </w:rPr>
        <w:t xml:space="preserve">The </w:t>
      </w:r>
      <w:r>
        <w:rPr>
          <w:lang w:val="en-GB" w:eastAsia="zh-CN"/>
        </w:rPr>
        <w:t xml:space="preserve">20 November 2020 </w:t>
      </w:r>
      <w:r>
        <w:rPr>
          <w:lang w:val="en-GB" w:eastAsia="zh-CN"/>
        </w:rPr>
        <w:t xml:space="preserve">letter </w:t>
      </w:r>
      <w:r w:rsidR="000F44B5">
        <w:rPr>
          <w:lang w:val="en-GB" w:eastAsia="zh-CN"/>
        </w:rPr>
        <w:t xml:space="preserve">from </w:t>
      </w:r>
      <w:r>
        <w:rPr>
          <w:lang w:val="en-GB" w:eastAsia="zh-CN"/>
        </w:rPr>
        <w:t xml:space="preserve">the </w:t>
      </w:r>
      <w:r w:rsidRPr="00A1709B">
        <w:rPr>
          <w:lang w:val="en-GB" w:eastAsia="zh-CN"/>
        </w:rPr>
        <w:t>Chairmen of Study Groups 1, 5 and 7</w:t>
      </w:r>
      <w:r>
        <w:rPr>
          <w:lang w:val="en-GB" w:eastAsia="zh-CN"/>
        </w:rPr>
        <w:t xml:space="preserve"> </w:t>
      </w:r>
      <w:r w:rsidR="000F44B5">
        <w:rPr>
          <w:lang w:val="en-GB" w:eastAsia="zh-CN"/>
        </w:rPr>
        <w:t xml:space="preserve">clarified procedures to be used in ITU-R for </w:t>
      </w:r>
      <w:r w:rsidR="0098279C">
        <w:rPr>
          <w:lang w:val="en-GB" w:eastAsia="zh-CN"/>
        </w:rPr>
        <w:t xml:space="preserve">such </w:t>
      </w:r>
      <w:r w:rsidR="000F44B5">
        <w:rPr>
          <w:lang w:val="en-GB" w:eastAsia="zh-CN"/>
        </w:rPr>
        <w:t xml:space="preserve">Res. </w:t>
      </w:r>
      <w:r w:rsidR="000F44B5" w:rsidRPr="0098279C">
        <w:rPr>
          <w:b/>
          <w:bCs/>
          <w:lang w:val="en-GB" w:eastAsia="zh-CN"/>
        </w:rPr>
        <w:t>731</w:t>
      </w:r>
      <w:r w:rsidR="000F44B5" w:rsidRPr="000F44B5">
        <w:rPr>
          <w:lang w:val="en-GB" w:eastAsia="zh-CN"/>
        </w:rPr>
        <w:t xml:space="preserve"> considerations.</w:t>
      </w:r>
    </w:p>
    <w:p w14:paraId="22FCED8C" w14:textId="77777777" w:rsidR="0023016B" w:rsidRPr="007205AC" w:rsidRDefault="0023016B" w:rsidP="0023016B">
      <w:pPr>
        <w:pStyle w:val="Headingb"/>
        <w:rPr>
          <w:rFonts w:eastAsia="Times"/>
          <w:lang w:val="en-US"/>
        </w:rPr>
      </w:pPr>
      <w:r>
        <w:rPr>
          <w:rFonts w:eastAsia="Times"/>
          <w:lang w:val="en-US"/>
        </w:rPr>
        <w:t>Proposal</w:t>
      </w:r>
    </w:p>
    <w:p w14:paraId="5C31E288" w14:textId="77777777" w:rsidR="0023016B" w:rsidRPr="007205AC" w:rsidRDefault="0023016B" w:rsidP="0023016B">
      <w:pPr>
        <w:jc w:val="both"/>
        <w:rPr>
          <w:rFonts w:eastAsia="Times"/>
        </w:rPr>
      </w:pPr>
    </w:p>
    <w:p w14:paraId="3E16B3B5" w14:textId="6BC3906A" w:rsidR="0023016B" w:rsidRPr="007205AC" w:rsidRDefault="0023016B" w:rsidP="000F44B5">
      <w:pPr>
        <w:jc w:val="both"/>
      </w:pPr>
      <w:r w:rsidRPr="007205AC">
        <w:t xml:space="preserve">This contribution </w:t>
      </w:r>
      <w:r>
        <w:t xml:space="preserve">is a Liaison Statement to ITU-R groups that have been identified </w:t>
      </w:r>
      <w:r w:rsidR="000F44B5">
        <w:t xml:space="preserve">in the above </w:t>
      </w:r>
      <w:r>
        <w:rPr>
          <w:lang w:val="en-GB" w:eastAsia="zh-CN"/>
        </w:rPr>
        <w:t>20 November 2020</w:t>
      </w:r>
      <w:r w:rsidR="000F44B5">
        <w:rPr>
          <w:lang w:val="en-GB" w:eastAsia="zh-CN"/>
        </w:rPr>
        <w:t xml:space="preserve"> letter from</w:t>
      </w:r>
      <w:r>
        <w:rPr>
          <w:lang w:val="en-GB" w:eastAsia="zh-CN"/>
        </w:rPr>
        <w:t xml:space="preserve"> the </w:t>
      </w:r>
      <w:r w:rsidRPr="00A1709B">
        <w:rPr>
          <w:lang w:val="en-GB" w:eastAsia="zh-CN"/>
        </w:rPr>
        <w:t>Chairmen of Study Groups 1, 5 and 7</w:t>
      </w:r>
      <w:r w:rsidR="000F44B5">
        <w:rPr>
          <w:lang w:val="en-GB" w:eastAsia="zh-CN"/>
        </w:rPr>
        <w:t xml:space="preserve">.  The LS includes a specific proposal for emission limits for this technology and suggests </w:t>
      </w:r>
      <w:r w:rsidR="0098279C">
        <w:rPr>
          <w:lang w:val="en-GB" w:eastAsia="zh-CN"/>
        </w:rPr>
        <w:t xml:space="preserve">that </w:t>
      </w:r>
      <w:r w:rsidR="000F44B5">
        <w:rPr>
          <w:lang w:val="en-GB" w:eastAsia="zh-CN"/>
        </w:rPr>
        <w:t xml:space="preserve">actions pursuant to Res. </w:t>
      </w:r>
      <w:r w:rsidR="000F44B5" w:rsidRPr="000F44B5">
        <w:rPr>
          <w:b/>
          <w:bCs/>
          <w:lang w:val="en-GB" w:eastAsia="zh-CN"/>
        </w:rPr>
        <w:t xml:space="preserve">731 </w:t>
      </w:r>
      <w:r w:rsidR="000F44B5">
        <w:rPr>
          <w:lang w:val="en-GB" w:eastAsia="zh-CN"/>
        </w:rPr>
        <w:t>commence within ITU-R.</w:t>
      </w:r>
    </w:p>
    <w:p w14:paraId="07F909E4" w14:textId="77777777" w:rsidR="0023016B" w:rsidRPr="007205AC" w:rsidRDefault="0023016B" w:rsidP="0023016B">
      <w:pPr>
        <w:pStyle w:val="Normalaftertitle"/>
        <w:rPr>
          <w:lang w:val="en-US"/>
        </w:rPr>
      </w:pPr>
      <w:r w:rsidRPr="007205AC">
        <w:rPr>
          <w:b/>
          <w:bCs/>
          <w:lang w:val="en-US"/>
        </w:rPr>
        <w:t>Attachment:</w:t>
      </w:r>
      <w:r w:rsidRPr="007205AC">
        <w:rPr>
          <w:lang w:val="en-US"/>
        </w:rPr>
        <w:t xml:space="preserve"> 1</w:t>
      </w:r>
    </w:p>
    <w:p w14:paraId="77FD1451" w14:textId="77777777" w:rsidR="0023016B" w:rsidRPr="007205AC" w:rsidRDefault="0023016B" w:rsidP="0023016B">
      <w:pPr>
        <w:rPr>
          <w:highlight w:val="yellow"/>
        </w:rPr>
      </w:pPr>
      <w:r w:rsidRPr="007205AC">
        <w:br w:type="page"/>
      </w:r>
    </w:p>
    <w:p w14:paraId="3BBBB38F" w14:textId="77777777" w:rsidR="00962C44" w:rsidRDefault="00962C44">
      <w:pPr>
        <w:spacing w:after="160" w:line="259" w:lineRule="auto"/>
      </w:pPr>
    </w:p>
    <w:tbl>
      <w:tblPr>
        <w:tblpPr w:leftFromText="180" w:rightFromText="180" w:horzAnchor="margin" w:tblpY="-687"/>
        <w:tblW w:w="9858" w:type="dxa"/>
        <w:tblLayout w:type="fixed"/>
        <w:tblLook w:val="0000" w:firstRow="0" w:lastRow="0" w:firstColumn="0" w:lastColumn="0" w:noHBand="0" w:noVBand="0"/>
      </w:tblPr>
      <w:tblGrid>
        <w:gridCol w:w="6467"/>
        <w:gridCol w:w="3391"/>
      </w:tblGrid>
      <w:tr w:rsidR="00962C44" w14:paraId="33328DE2" w14:textId="77777777" w:rsidTr="004338C9">
        <w:trPr>
          <w:cantSplit/>
          <w:trHeight w:val="1053"/>
        </w:trPr>
        <w:tc>
          <w:tcPr>
            <w:tcW w:w="6467" w:type="dxa"/>
            <w:vAlign w:val="center"/>
          </w:tcPr>
          <w:p w14:paraId="36D6F889" w14:textId="77777777" w:rsidR="00962C44" w:rsidRPr="00D8032B" w:rsidRDefault="00962C44" w:rsidP="004338C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391" w:type="dxa"/>
          </w:tcPr>
          <w:p w14:paraId="70096347" w14:textId="77777777" w:rsidR="00962C44" w:rsidRDefault="00962C44" w:rsidP="004338C9">
            <w:pPr>
              <w:shd w:val="solid" w:color="FFFFFF" w:fill="FFFFFF"/>
              <w:spacing w:line="240" w:lineRule="atLeast"/>
            </w:pPr>
            <w:bookmarkStart w:id="0" w:name="ditulogo"/>
            <w:bookmarkEnd w:id="0"/>
            <w:r>
              <w:rPr>
                <w:noProof/>
                <w:lang w:val="fr-FR" w:eastAsia="fr-FR"/>
              </w:rPr>
              <w:drawing>
                <wp:inline distT="0" distB="0" distL="0" distR="0" wp14:anchorId="26B3A045" wp14:editId="54184391">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62C44" w:rsidRPr="0051782D" w14:paraId="5243A718" w14:textId="77777777" w:rsidTr="004338C9">
        <w:trPr>
          <w:cantSplit/>
          <w:trHeight w:val="276"/>
        </w:trPr>
        <w:tc>
          <w:tcPr>
            <w:tcW w:w="6467" w:type="dxa"/>
            <w:tcBorders>
              <w:bottom w:val="single" w:sz="12" w:space="0" w:color="auto"/>
            </w:tcBorders>
          </w:tcPr>
          <w:p w14:paraId="3579F0F1" w14:textId="77777777" w:rsidR="00962C44" w:rsidRPr="00163271" w:rsidRDefault="00962C44" w:rsidP="004338C9">
            <w:pPr>
              <w:shd w:val="solid" w:color="FFFFFF" w:fill="FFFFFF"/>
              <w:spacing w:after="48"/>
              <w:rPr>
                <w:rFonts w:ascii="Verdana" w:hAnsi="Verdana" w:cs="Times New Roman Bold"/>
                <w:b/>
                <w:sz w:val="22"/>
                <w:szCs w:val="22"/>
              </w:rPr>
            </w:pPr>
          </w:p>
        </w:tc>
        <w:tc>
          <w:tcPr>
            <w:tcW w:w="3391" w:type="dxa"/>
            <w:tcBorders>
              <w:bottom w:val="single" w:sz="12" w:space="0" w:color="auto"/>
            </w:tcBorders>
          </w:tcPr>
          <w:p w14:paraId="221D1F3A" w14:textId="77777777" w:rsidR="00962C44" w:rsidRPr="0051782D" w:rsidRDefault="00962C44" w:rsidP="004338C9">
            <w:pPr>
              <w:shd w:val="solid" w:color="FFFFFF" w:fill="FFFFFF"/>
              <w:spacing w:after="48" w:line="240" w:lineRule="atLeast"/>
              <w:rPr>
                <w:sz w:val="22"/>
                <w:szCs w:val="22"/>
              </w:rPr>
            </w:pPr>
          </w:p>
        </w:tc>
      </w:tr>
      <w:tr w:rsidR="00962C44" w14:paraId="60FF001E" w14:textId="77777777" w:rsidTr="004338C9">
        <w:trPr>
          <w:cantSplit/>
          <w:trHeight w:val="289"/>
        </w:trPr>
        <w:tc>
          <w:tcPr>
            <w:tcW w:w="6467" w:type="dxa"/>
            <w:tcBorders>
              <w:top w:val="single" w:sz="12" w:space="0" w:color="auto"/>
            </w:tcBorders>
          </w:tcPr>
          <w:p w14:paraId="086E3850" w14:textId="77777777" w:rsidR="00962C44" w:rsidRPr="0051782D" w:rsidRDefault="00962C44" w:rsidP="004338C9">
            <w:pPr>
              <w:shd w:val="solid" w:color="FFFFFF" w:fill="FFFFFF"/>
              <w:spacing w:after="48"/>
              <w:rPr>
                <w:rFonts w:ascii="Verdana" w:hAnsi="Verdana" w:cs="Times New Roman Bold"/>
                <w:bCs/>
                <w:sz w:val="22"/>
                <w:szCs w:val="22"/>
              </w:rPr>
            </w:pPr>
          </w:p>
        </w:tc>
        <w:tc>
          <w:tcPr>
            <w:tcW w:w="3391" w:type="dxa"/>
            <w:tcBorders>
              <w:top w:val="single" w:sz="12" w:space="0" w:color="auto"/>
            </w:tcBorders>
          </w:tcPr>
          <w:p w14:paraId="0772FA75" w14:textId="77777777" w:rsidR="00962C44" w:rsidRPr="00710D66" w:rsidRDefault="00962C44" w:rsidP="004338C9">
            <w:pPr>
              <w:shd w:val="solid" w:color="FFFFFF" w:fill="FFFFFF"/>
              <w:spacing w:after="48" w:line="240" w:lineRule="atLeast"/>
            </w:pPr>
          </w:p>
        </w:tc>
      </w:tr>
      <w:tr w:rsidR="00962C44" w14:paraId="69D3126D" w14:textId="77777777" w:rsidTr="004338C9">
        <w:trPr>
          <w:cantSplit/>
          <w:trHeight w:val="210"/>
        </w:trPr>
        <w:tc>
          <w:tcPr>
            <w:tcW w:w="6467" w:type="dxa"/>
            <w:vMerge w:val="restart"/>
          </w:tcPr>
          <w:p w14:paraId="31B45FC8" w14:textId="37700F44" w:rsidR="00962C44" w:rsidRDefault="00962C44" w:rsidP="004338C9">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14:paraId="6FCB502C" w14:textId="57805CB4" w:rsidR="00962C44" w:rsidRPr="00982084" w:rsidRDefault="00962C44" w:rsidP="004338C9">
            <w:pPr>
              <w:shd w:val="solid" w:color="FFFFFF" w:fill="FFFFFF"/>
              <w:spacing w:after="240"/>
              <w:ind w:left="1134" w:hanging="1134"/>
              <w:rPr>
                <w:rFonts w:ascii="Verdana" w:hAnsi="Verdana"/>
                <w:sz w:val="20"/>
              </w:rPr>
            </w:pPr>
            <w:r w:rsidRPr="00560C63">
              <w:rPr>
                <w:rFonts w:ascii="Verdana" w:hAnsi="Verdana"/>
                <w:sz w:val="20"/>
              </w:rPr>
              <w:t>Subject:</w:t>
            </w:r>
            <w:r w:rsidRPr="00560C63">
              <w:rPr>
                <w:rFonts w:ascii="Verdana" w:hAnsi="Verdana"/>
                <w:sz w:val="20"/>
              </w:rPr>
              <w:tab/>
            </w:r>
            <w:r w:rsidR="00940811">
              <w:rPr>
                <w:lang w:eastAsia="zh-CN"/>
              </w:rPr>
              <w:t xml:space="preserve"> R</w:t>
            </w:r>
            <w:r w:rsidR="00940811" w:rsidRPr="00FA23DB">
              <w:rPr>
                <w:lang w:eastAsia="zh-CN"/>
              </w:rPr>
              <w:t xml:space="preserve">esolution </w:t>
            </w:r>
            <w:r w:rsidR="00940811" w:rsidRPr="006035EE">
              <w:rPr>
                <w:b/>
                <w:bCs/>
                <w:lang w:eastAsia="zh-CN"/>
              </w:rPr>
              <w:t>731</w:t>
            </w:r>
            <w:r w:rsidR="00940811" w:rsidRPr="00FA23DB">
              <w:rPr>
                <w:lang w:eastAsia="zh-CN"/>
              </w:rPr>
              <w:t xml:space="preserve"> (Rev.WRC-19)</w:t>
            </w:r>
            <w:r w:rsidR="00940811">
              <w:rPr>
                <w:lang w:eastAsia="zh-CN"/>
              </w:rPr>
              <w:t xml:space="preserve"> </w:t>
            </w:r>
            <w:r w:rsidR="00940811" w:rsidRPr="00FA23DB">
              <w:rPr>
                <w:lang w:eastAsia="zh-CN"/>
              </w:rPr>
              <w:t xml:space="preserve"> </w:t>
            </w:r>
          </w:p>
        </w:tc>
        <w:tc>
          <w:tcPr>
            <w:tcW w:w="3391" w:type="dxa"/>
          </w:tcPr>
          <w:p w14:paraId="65CFA3FD" w14:textId="0050E29B" w:rsidR="00962C44" w:rsidRPr="00A00837" w:rsidRDefault="00962C44" w:rsidP="004338C9">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sidR="00940811">
              <w:rPr>
                <w:rFonts w:ascii="Verdana" w:hAnsi="Verdana"/>
                <w:b/>
                <w:sz w:val="20"/>
                <w:lang w:eastAsia="zh-CN"/>
              </w:rPr>
              <w:t>5B</w:t>
            </w:r>
            <w:r>
              <w:rPr>
                <w:rFonts w:ascii="Verdana" w:hAnsi="Verdana"/>
                <w:b/>
                <w:sz w:val="20"/>
                <w:lang w:eastAsia="zh-CN"/>
              </w:rPr>
              <w:t>/XXX-E</w:t>
            </w:r>
          </w:p>
        </w:tc>
      </w:tr>
      <w:tr w:rsidR="00962C44" w14:paraId="79A5216C" w14:textId="77777777" w:rsidTr="004338C9">
        <w:trPr>
          <w:cantSplit/>
          <w:trHeight w:val="210"/>
        </w:trPr>
        <w:tc>
          <w:tcPr>
            <w:tcW w:w="6467" w:type="dxa"/>
            <w:vMerge/>
          </w:tcPr>
          <w:p w14:paraId="6176C08E" w14:textId="77777777" w:rsidR="00962C44" w:rsidRDefault="00962C44" w:rsidP="004338C9">
            <w:pPr>
              <w:spacing w:before="60"/>
              <w:jc w:val="center"/>
              <w:rPr>
                <w:b/>
                <w:smallCaps/>
                <w:sz w:val="32"/>
                <w:lang w:eastAsia="zh-CN"/>
              </w:rPr>
            </w:pPr>
            <w:bookmarkStart w:id="3" w:name="ddate" w:colFirst="1" w:colLast="1"/>
            <w:bookmarkEnd w:id="2"/>
          </w:p>
        </w:tc>
        <w:tc>
          <w:tcPr>
            <w:tcW w:w="3391" w:type="dxa"/>
          </w:tcPr>
          <w:p w14:paraId="23C5E313" w14:textId="08815A72" w:rsidR="00962C44" w:rsidRPr="00A00837" w:rsidRDefault="00940811" w:rsidP="004338C9">
            <w:pPr>
              <w:shd w:val="solid" w:color="FFFFFF" w:fill="FFFFFF"/>
              <w:spacing w:line="240" w:lineRule="atLeast"/>
              <w:rPr>
                <w:rFonts w:ascii="Verdana" w:hAnsi="Verdana"/>
                <w:sz w:val="20"/>
                <w:lang w:eastAsia="zh-CN"/>
              </w:rPr>
            </w:pPr>
            <w:r>
              <w:rPr>
                <w:rFonts w:ascii="Verdana" w:hAnsi="Verdana"/>
                <w:b/>
                <w:sz w:val="20"/>
                <w:lang w:eastAsia="zh-CN"/>
              </w:rPr>
              <w:t>_________</w:t>
            </w:r>
            <w:r w:rsidR="00962C44">
              <w:rPr>
                <w:rFonts w:ascii="Verdana" w:hAnsi="Verdana"/>
                <w:b/>
                <w:sz w:val="20"/>
                <w:lang w:eastAsia="zh-CN"/>
              </w:rPr>
              <w:t xml:space="preserve"> 202</w:t>
            </w:r>
            <w:r>
              <w:rPr>
                <w:rFonts w:ascii="Verdana" w:hAnsi="Verdana"/>
                <w:b/>
                <w:sz w:val="20"/>
                <w:lang w:eastAsia="zh-CN"/>
              </w:rPr>
              <w:t>3</w:t>
            </w:r>
          </w:p>
        </w:tc>
      </w:tr>
      <w:tr w:rsidR="00962C44" w14:paraId="208995AD" w14:textId="77777777" w:rsidTr="004338C9">
        <w:trPr>
          <w:cantSplit/>
          <w:trHeight w:val="421"/>
        </w:trPr>
        <w:tc>
          <w:tcPr>
            <w:tcW w:w="6467" w:type="dxa"/>
            <w:vMerge/>
          </w:tcPr>
          <w:p w14:paraId="4F001E0D" w14:textId="77777777" w:rsidR="00962C44" w:rsidRDefault="00962C44" w:rsidP="004338C9">
            <w:pPr>
              <w:spacing w:before="60"/>
              <w:jc w:val="center"/>
              <w:rPr>
                <w:b/>
                <w:smallCaps/>
                <w:sz w:val="32"/>
                <w:lang w:eastAsia="zh-CN"/>
              </w:rPr>
            </w:pPr>
            <w:bookmarkStart w:id="4" w:name="dorlang" w:colFirst="1" w:colLast="1"/>
            <w:bookmarkEnd w:id="3"/>
          </w:p>
        </w:tc>
        <w:tc>
          <w:tcPr>
            <w:tcW w:w="3391" w:type="dxa"/>
          </w:tcPr>
          <w:p w14:paraId="528DAF44" w14:textId="77777777" w:rsidR="00962C44" w:rsidRPr="00A00837" w:rsidRDefault="00962C44" w:rsidP="004338C9">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962C44" w14:paraId="02046F7F" w14:textId="77777777" w:rsidTr="004338C9">
        <w:trPr>
          <w:cantSplit/>
          <w:trHeight w:val="1027"/>
        </w:trPr>
        <w:tc>
          <w:tcPr>
            <w:tcW w:w="9858" w:type="dxa"/>
            <w:gridSpan w:val="2"/>
          </w:tcPr>
          <w:p w14:paraId="593FDCBF" w14:textId="50CEFAEE" w:rsidR="00962C44" w:rsidRDefault="00962C44" w:rsidP="004338C9">
            <w:pPr>
              <w:pStyle w:val="Source"/>
              <w:rPr>
                <w:lang w:eastAsia="zh-CN"/>
              </w:rPr>
            </w:pPr>
            <w:bookmarkStart w:id="5" w:name="dsource" w:colFirst="0" w:colLast="0"/>
            <w:bookmarkEnd w:id="4"/>
          </w:p>
        </w:tc>
      </w:tr>
      <w:tr w:rsidR="00962C44" w14:paraId="4E6DE2C5" w14:textId="77777777" w:rsidTr="004338C9">
        <w:trPr>
          <w:cantSplit/>
          <w:trHeight w:val="964"/>
        </w:trPr>
        <w:tc>
          <w:tcPr>
            <w:tcW w:w="9858" w:type="dxa"/>
            <w:gridSpan w:val="2"/>
          </w:tcPr>
          <w:p w14:paraId="7F360205" w14:textId="03684899" w:rsidR="00962C44" w:rsidRPr="00560C63" w:rsidRDefault="00962C44" w:rsidP="004338C9">
            <w:pPr>
              <w:pStyle w:val="Source"/>
              <w:rPr>
                <w:lang w:eastAsia="zh-CN"/>
              </w:rPr>
            </w:pPr>
            <w:bookmarkStart w:id="6" w:name="drec" w:colFirst="0" w:colLast="0"/>
            <w:bookmarkEnd w:id="5"/>
            <w:r>
              <w:rPr>
                <w:lang w:eastAsia="zh-CN"/>
              </w:rPr>
              <w:t>Working Party 5B</w:t>
            </w:r>
          </w:p>
          <w:p w14:paraId="3231E60A" w14:textId="77777777" w:rsidR="00962C44" w:rsidRDefault="00962C44" w:rsidP="004338C9">
            <w:pPr>
              <w:pStyle w:val="Title1"/>
              <w:rPr>
                <w:lang w:eastAsia="zh-CN"/>
              </w:rPr>
            </w:pPr>
            <w:r>
              <w:rPr>
                <w:lang w:eastAsia="zh-CN"/>
              </w:rPr>
              <w:t xml:space="preserve">PROPOSED liaison statement to </w:t>
            </w:r>
          </w:p>
          <w:p w14:paraId="55F8846F" w14:textId="484C0F95" w:rsidR="00962C44" w:rsidRPr="00560C63" w:rsidRDefault="00962C44" w:rsidP="004338C9">
            <w:pPr>
              <w:pStyle w:val="Title1"/>
              <w:rPr>
                <w:bCs/>
              </w:rPr>
            </w:pPr>
            <w:r>
              <w:rPr>
                <w:lang w:eastAsia="zh-CN"/>
              </w:rPr>
              <w:t xml:space="preserve">Working Parties 1A, 5A, 5C, 7C and 7D ON </w:t>
            </w:r>
          </w:p>
          <w:p w14:paraId="39FD8897" w14:textId="780BF178" w:rsidR="00962C44" w:rsidRDefault="00962C44" w:rsidP="004338C9">
            <w:pPr>
              <w:pStyle w:val="Title4"/>
              <w:rPr>
                <w:lang w:eastAsia="zh-CN"/>
              </w:rPr>
            </w:pPr>
            <w:r>
              <w:rPr>
                <w:lang w:eastAsia="zh-CN"/>
              </w:rPr>
              <w:t>S</w:t>
            </w:r>
            <w:r w:rsidRPr="00FA23DB">
              <w:rPr>
                <w:lang w:eastAsia="zh-CN"/>
              </w:rPr>
              <w:t xml:space="preserve">tudies under </w:t>
            </w:r>
            <w:r>
              <w:rPr>
                <w:lang w:eastAsia="zh-CN"/>
              </w:rPr>
              <w:t>R</w:t>
            </w:r>
            <w:r w:rsidRPr="00FA23DB">
              <w:rPr>
                <w:lang w:eastAsia="zh-CN"/>
              </w:rPr>
              <w:t>esolution 731 (Rev.</w:t>
            </w:r>
            <w:r w:rsidR="00403C3A">
              <w:rPr>
                <w:lang w:eastAsia="zh-CN"/>
              </w:rPr>
              <w:t xml:space="preserve"> </w:t>
            </w:r>
            <w:r w:rsidRPr="00FA23DB">
              <w:rPr>
                <w:lang w:eastAsia="zh-CN"/>
              </w:rPr>
              <w:t>WRC-19)</w:t>
            </w:r>
            <w:r>
              <w:rPr>
                <w:lang w:eastAsia="zh-CN"/>
              </w:rPr>
              <w:t xml:space="preserve"> on</w:t>
            </w:r>
            <w:r w:rsidRPr="00FA23DB">
              <w:rPr>
                <w:lang w:eastAsia="zh-CN"/>
              </w:rPr>
              <w:t xml:space="preserve"> sharing and compatibility </w:t>
            </w:r>
            <w:r w:rsidRPr="00FA23DB">
              <w:rPr>
                <w:lang w:eastAsia="zh-CN"/>
              </w:rPr>
              <w:br/>
              <w:t>between passive and active services above 71 GHz</w:t>
            </w:r>
            <w:r>
              <w:rPr>
                <w:lang w:eastAsia="zh-CN"/>
              </w:rPr>
              <w:t xml:space="preserve"> in the case of very short range indoor radiodetermination systems</w:t>
            </w:r>
          </w:p>
        </w:tc>
      </w:tr>
      <w:tr w:rsidR="00962C44" w14:paraId="158D5E86" w14:textId="77777777" w:rsidTr="004338C9">
        <w:trPr>
          <w:cantSplit/>
          <w:trHeight w:val="487"/>
        </w:trPr>
        <w:tc>
          <w:tcPr>
            <w:tcW w:w="9858" w:type="dxa"/>
            <w:gridSpan w:val="2"/>
          </w:tcPr>
          <w:p w14:paraId="68A17834" w14:textId="77777777" w:rsidR="00962C44" w:rsidRDefault="00962C44" w:rsidP="004338C9">
            <w:pPr>
              <w:pStyle w:val="Title1"/>
              <w:jc w:val="left"/>
              <w:rPr>
                <w:lang w:eastAsia="zh-CN"/>
              </w:rPr>
            </w:pPr>
            <w:bookmarkStart w:id="7" w:name="dtitle1" w:colFirst="0" w:colLast="0"/>
            <w:bookmarkEnd w:id="6"/>
          </w:p>
        </w:tc>
      </w:tr>
    </w:tbl>
    <w:p w14:paraId="24C3A10B" w14:textId="12661537" w:rsidR="00962C44" w:rsidRDefault="00962C44" w:rsidP="00A1709B">
      <w:pPr>
        <w:pStyle w:val="Normalaftertitle"/>
        <w:spacing w:before="480"/>
        <w:rPr>
          <w:lang w:eastAsia="zh-CN"/>
        </w:rPr>
      </w:pPr>
      <w:bookmarkStart w:id="8" w:name="dbreak"/>
      <w:bookmarkEnd w:id="7"/>
      <w:bookmarkEnd w:id="8"/>
      <w:r>
        <w:rPr>
          <w:lang w:eastAsia="zh-CN"/>
        </w:rPr>
        <w:t xml:space="preserve">WRC-2000 adopted </w:t>
      </w:r>
      <w:r w:rsidR="00A1709B">
        <w:rPr>
          <w:lang w:eastAsia="zh-CN"/>
        </w:rPr>
        <w:t xml:space="preserve">Res. </w:t>
      </w:r>
      <w:r w:rsidR="00A1709B" w:rsidRPr="00A1709B">
        <w:rPr>
          <w:b/>
          <w:bCs/>
          <w:lang w:eastAsia="zh-CN"/>
        </w:rPr>
        <w:t>731</w:t>
      </w:r>
      <w:r w:rsidR="00A1709B">
        <w:rPr>
          <w:b/>
          <w:bCs/>
          <w:lang w:eastAsia="zh-CN"/>
        </w:rPr>
        <w:t xml:space="preserve"> </w:t>
      </w:r>
      <w:r w:rsidR="00A1709B" w:rsidRPr="00A1709B">
        <w:rPr>
          <w:lang w:eastAsia="zh-CN"/>
        </w:rPr>
        <w:t xml:space="preserve">on </w:t>
      </w:r>
      <w:r w:rsidR="00403C3A">
        <w:rPr>
          <w:lang w:eastAsia="zh-CN"/>
        </w:rPr>
        <w:t>c</w:t>
      </w:r>
      <w:r w:rsidR="00A1709B" w:rsidRPr="00A1709B">
        <w:rPr>
          <w:lang w:eastAsia="zh-CN"/>
        </w:rPr>
        <w:t>onsideration by a future competent world radiocommunication conference</w:t>
      </w:r>
      <w:r w:rsidR="00A1709B">
        <w:rPr>
          <w:lang w:eastAsia="zh-CN"/>
        </w:rPr>
        <w:t xml:space="preserve"> </w:t>
      </w:r>
      <w:r w:rsidR="00A1709B" w:rsidRPr="00A1709B">
        <w:rPr>
          <w:lang w:eastAsia="zh-CN"/>
        </w:rPr>
        <w:t>of issues dealing with sharing and adjacent-band compatibility between</w:t>
      </w:r>
      <w:r w:rsidR="00A1709B">
        <w:rPr>
          <w:lang w:eastAsia="zh-CN"/>
        </w:rPr>
        <w:t xml:space="preserve"> </w:t>
      </w:r>
      <w:r w:rsidR="00A1709B" w:rsidRPr="00A1709B">
        <w:rPr>
          <w:lang w:eastAsia="zh-CN"/>
        </w:rPr>
        <w:t>passive and active services above 71 GHz</w:t>
      </w:r>
      <w:r w:rsidR="00A1709B">
        <w:rPr>
          <w:lang w:eastAsia="zh-CN"/>
        </w:rPr>
        <w:t xml:space="preserve"> as part of an action that included most of the present allocations in 100-275 GHz.  The inclusion of such a resolution in the new allocations was contained in both the European input</w:t>
      </w:r>
      <w:r w:rsidR="00403C3A">
        <w:rPr>
          <w:lang w:eastAsia="zh-CN"/>
        </w:rPr>
        <w:t>s</w:t>
      </w:r>
      <w:r w:rsidR="00A1709B">
        <w:rPr>
          <w:lang w:eastAsia="zh-CN"/>
        </w:rPr>
        <w:t xml:space="preserve"> to the conference as well as the USA inputs as was based on the lack of knowledge at the time of future active transmitter needs above 71 GHz as well as unknown technology that would be available.  Res. </w:t>
      </w:r>
      <w:r w:rsidR="00A1709B">
        <w:rPr>
          <w:b/>
          <w:bCs/>
          <w:lang w:eastAsia="zh-CN"/>
        </w:rPr>
        <w:t xml:space="preserve">731 </w:t>
      </w:r>
      <w:r w:rsidR="00A1709B" w:rsidRPr="00A1709B">
        <w:rPr>
          <w:lang w:eastAsia="zh-CN"/>
        </w:rPr>
        <w:t>was amended</w:t>
      </w:r>
      <w:r w:rsidR="00A1709B">
        <w:rPr>
          <w:lang w:eastAsia="zh-CN"/>
        </w:rPr>
        <w:t xml:space="preserve"> at WRC-19 to address issues above 275 </w:t>
      </w:r>
      <w:proofErr w:type="gramStart"/>
      <w:r w:rsidR="00A1709B">
        <w:rPr>
          <w:lang w:eastAsia="zh-CN"/>
        </w:rPr>
        <w:t>GHz</w:t>
      </w:r>
      <w:proofErr w:type="gramEnd"/>
      <w:r w:rsidR="00A1709B">
        <w:rPr>
          <w:lang w:eastAsia="zh-CN"/>
        </w:rPr>
        <w:t xml:space="preserve"> </w:t>
      </w:r>
      <w:r w:rsidR="00403C3A">
        <w:rPr>
          <w:lang w:eastAsia="zh-CN"/>
        </w:rPr>
        <w:t>but</w:t>
      </w:r>
      <w:r w:rsidR="00A1709B">
        <w:rPr>
          <w:lang w:eastAsia="zh-CN"/>
        </w:rPr>
        <w:t xml:space="preserve"> the original </w:t>
      </w:r>
      <w:r w:rsidR="00403C3A">
        <w:rPr>
          <w:lang w:eastAsia="zh-CN"/>
        </w:rPr>
        <w:t xml:space="preserve">WRC-2000 </w:t>
      </w:r>
      <w:r w:rsidR="00A1709B">
        <w:rPr>
          <w:lang w:eastAsia="zh-CN"/>
        </w:rPr>
        <w:t xml:space="preserve">71-275 GHz sharing text </w:t>
      </w:r>
      <w:r w:rsidR="00403C3A">
        <w:rPr>
          <w:lang w:eastAsia="zh-CN"/>
        </w:rPr>
        <w:t>remains</w:t>
      </w:r>
      <w:r w:rsidR="00A1709B">
        <w:rPr>
          <w:lang w:eastAsia="zh-CN"/>
        </w:rPr>
        <w:t xml:space="preserve"> unchanged.</w:t>
      </w:r>
    </w:p>
    <w:p w14:paraId="50ED48D5" w14:textId="3A0FFF6D" w:rsidR="00A1709B" w:rsidRDefault="00A1709B" w:rsidP="00A1709B">
      <w:pPr>
        <w:rPr>
          <w:lang w:val="en-GB" w:eastAsia="zh-CN"/>
        </w:rPr>
      </w:pPr>
    </w:p>
    <w:p w14:paraId="09359806" w14:textId="2B561123" w:rsidR="00403C3A" w:rsidRDefault="00A1709B" w:rsidP="004441CA">
      <w:pPr>
        <w:rPr>
          <w:lang w:val="en-GB"/>
        </w:rPr>
      </w:pPr>
      <w:r>
        <w:rPr>
          <w:lang w:val="en-GB" w:eastAsia="zh-CN"/>
        </w:rPr>
        <w:t xml:space="preserve">On 20 November 2020 the </w:t>
      </w:r>
      <w:r w:rsidRPr="00A1709B">
        <w:rPr>
          <w:lang w:val="en-GB" w:eastAsia="zh-CN"/>
        </w:rPr>
        <w:t>Chairmen of Study Groups 1, 5 and 7</w:t>
      </w:r>
      <w:r>
        <w:rPr>
          <w:lang w:val="en-GB" w:eastAsia="zh-CN"/>
        </w:rPr>
        <w:t xml:space="preserve"> issued a letter on </w:t>
      </w:r>
      <w:r w:rsidRPr="00A1709B">
        <w:rPr>
          <w:lang w:val="en-GB" w:eastAsia="zh-CN"/>
        </w:rPr>
        <w:t>Consideration of sharing and adjacent-band compatibility between passive and active services above 71 GHz</w:t>
      </w:r>
      <w:r>
        <w:rPr>
          <w:lang w:val="en-GB" w:eastAsia="zh-CN"/>
        </w:rPr>
        <w:t xml:space="preserve"> that stated “</w:t>
      </w:r>
      <w:r w:rsidRPr="00FA23DB">
        <w:rPr>
          <w:lang w:eastAsia="zh-CN"/>
        </w:rPr>
        <w:t xml:space="preserve">work under Resolution </w:t>
      </w:r>
      <w:r w:rsidRPr="00FA23DB">
        <w:rPr>
          <w:b/>
          <w:bCs/>
          <w:lang w:eastAsia="zh-CN"/>
        </w:rPr>
        <w:t>731 (Rev.</w:t>
      </w:r>
      <w:r w:rsidR="0048425B">
        <w:rPr>
          <w:b/>
          <w:bCs/>
          <w:lang w:eastAsia="zh-CN"/>
        </w:rPr>
        <w:t xml:space="preserve"> </w:t>
      </w:r>
      <w:r w:rsidRPr="00FA23DB">
        <w:rPr>
          <w:b/>
          <w:bCs/>
          <w:lang w:eastAsia="zh-CN"/>
        </w:rPr>
        <w:t xml:space="preserve">WRC-19) </w:t>
      </w:r>
      <w:r w:rsidRPr="00FA23DB">
        <w:rPr>
          <w:lang w:eastAsia="zh-CN"/>
        </w:rPr>
        <w:t xml:space="preserve">pertaining to the protection of the passive services with respect to </w:t>
      </w:r>
      <w:r w:rsidRPr="00FA23DB">
        <w:rPr>
          <w:i/>
          <w:iCs/>
          <w:lang w:eastAsia="zh-CN"/>
        </w:rPr>
        <w:t>invites the ITU Radiocommunication Sector</w:t>
      </w:r>
      <w:r w:rsidRPr="00FA23DB">
        <w:rPr>
          <w:lang w:eastAsia="zh-CN"/>
        </w:rPr>
        <w:t xml:space="preserve"> 1 will be done within Working Parties (WP) 7C and 7D, which will be the lead groups working in close cooperation with WPs 5A and 5C</w:t>
      </w:r>
      <w:r>
        <w:rPr>
          <w:lang w:eastAsia="zh-CN"/>
        </w:rPr>
        <w:t>”.  At the time of this letter the chairmen probably understood that the only possible sharing would involve Fixed and Mobile services.  However</w:t>
      </w:r>
      <w:r w:rsidR="002339ED">
        <w:rPr>
          <w:lang w:eastAsia="zh-CN"/>
        </w:rPr>
        <w:t>,</w:t>
      </w:r>
      <w:r>
        <w:rPr>
          <w:lang w:eastAsia="zh-CN"/>
        </w:rPr>
        <w:t xml:space="preserve"> there is a growing interest and requirement for a very wideband, </w:t>
      </w:r>
      <w:r w:rsidR="002339ED">
        <w:rPr>
          <w:lang w:eastAsia="zh-CN"/>
        </w:rPr>
        <w:t xml:space="preserve">very </w:t>
      </w:r>
      <w:r>
        <w:rPr>
          <w:lang w:eastAsia="zh-CN"/>
        </w:rPr>
        <w:t>short range radiodetermination</w:t>
      </w:r>
      <w:r w:rsidR="002721C2">
        <w:rPr>
          <w:lang w:eastAsia="zh-CN"/>
        </w:rPr>
        <w:t>, generally indoor transmitter</w:t>
      </w:r>
      <w:r>
        <w:rPr>
          <w:lang w:eastAsia="zh-CN"/>
        </w:rPr>
        <w:t xml:space="preserve"> application</w:t>
      </w:r>
      <w:r w:rsidR="002721C2">
        <w:rPr>
          <w:lang w:eastAsia="zh-CN"/>
        </w:rPr>
        <w:t xml:space="preserve"> above 71 GHz</w:t>
      </w:r>
      <w:r>
        <w:rPr>
          <w:lang w:eastAsia="zh-CN"/>
        </w:rPr>
        <w:t xml:space="preserve"> which is variously called “Terahertz Spectroscopy”</w:t>
      </w:r>
      <w:r w:rsidR="002721C2">
        <w:rPr>
          <w:lang w:eastAsia="zh-CN"/>
        </w:rPr>
        <w:t xml:space="preserve"> </w:t>
      </w:r>
      <w:r w:rsidR="004441CA">
        <w:rPr>
          <w:lang w:eastAsia="zh-CN"/>
        </w:rPr>
        <w:t>or “</w:t>
      </w:r>
      <w:r w:rsidR="002339ED" w:rsidRPr="006A6CE1">
        <w:rPr>
          <w:lang w:val="en-GB"/>
        </w:rPr>
        <w:t>Radiodetermination systems for industry automation in shielded environments (RDI-S)</w:t>
      </w:r>
      <w:r w:rsidR="002339ED">
        <w:rPr>
          <w:lang w:val="en-GB"/>
        </w:rPr>
        <w:t>”</w:t>
      </w:r>
      <w:r w:rsidR="002721C2">
        <w:rPr>
          <w:lang w:val="en-GB"/>
        </w:rPr>
        <w:t>.</w:t>
      </w:r>
      <w:r w:rsidR="00EA6FED">
        <w:rPr>
          <w:lang w:val="en-GB"/>
        </w:rPr>
        <w:t xml:space="preserve">  While this spectrum use is different than the much more common radar-like radiodetermination, it appears to meet the </w:t>
      </w:r>
      <w:r w:rsidR="00EA6FED">
        <w:rPr>
          <w:b/>
          <w:bCs/>
          <w:lang w:val="en-GB"/>
        </w:rPr>
        <w:t xml:space="preserve">1.9 </w:t>
      </w:r>
      <w:r w:rsidR="00EA6FED">
        <w:rPr>
          <w:lang w:val="en-GB"/>
        </w:rPr>
        <w:t>definition of radiodetermination since it involves “</w:t>
      </w:r>
      <w:r w:rsidR="00EA6FED" w:rsidRPr="00EA6FED">
        <w:rPr>
          <w:lang w:val="en-GB"/>
        </w:rPr>
        <w:t xml:space="preserve">The determination of </w:t>
      </w:r>
      <w:r w:rsidR="00EA6FED">
        <w:rPr>
          <w:lang w:val="en-GB"/>
        </w:rPr>
        <w:t>…</w:t>
      </w:r>
      <w:r w:rsidR="00EA6FED" w:rsidRPr="00EA6FED">
        <w:rPr>
          <w:lang w:val="en-GB"/>
        </w:rPr>
        <w:t xml:space="preserve"> characteristics of an object, or the obtaining of information relating to these parameters, by means of the propagation properties of radio waves.</w:t>
      </w:r>
      <w:r w:rsidR="00EA6FED">
        <w:rPr>
          <w:lang w:val="en-GB"/>
        </w:rPr>
        <w:t xml:space="preserve">”  </w:t>
      </w:r>
    </w:p>
    <w:p w14:paraId="1FDC36B8" w14:textId="77777777" w:rsidR="00403C3A" w:rsidRDefault="00403C3A" w:rsidP="004441CA">
      <w:pPr>
        <w:rPr>
          <w:lang w:val="en-GB"/>
        </w:rPr>
      </w:pPr>
    </w:p>
    <w:p w14:paraId="4F05C4A7" w14:textId="3BD5CBF0" w:rsidR="00403C3A" w:rsidRPr="00CC0A17" w:rsidRDefault="00403C3A" w:rsidP="00403C3A">
      <w:pPr>
        <w:rPr>
          <w:lang w:val="en-GB"/>
        </w:rPr>
      </w:pPr>
      <w:r>
        <w:rPr>
          <w:lang w:val="en-GB"/>
        </w:rPr>
        <w:t>This technology uses bandwidth in spectrum above 71 GHz generally greater than 35 GHz (in the case of MMIC-based RDI-S technology) and greater than 100 GHz (in the case of</w:t>
      </w:r>
      <w:r>
        <w:rPr>
          <w:lang w:val="en-GB"/>
        </w:rPr>
        <w:t xml:space="preserve"> </w:t>
      </w:r>
      <w:r>
        <w:rPr>
          <w:lang w:val="en-GB"/>
        </w:rPr>
        <w:t xml:space="preserve">“traditional” laser-based Terahertz spectroscopy technology).  Most uses of this technology are indoor and involves either scientific measurements or real time non-destructive testing during manufacturing processes to improve the quality, safety and yield of items being manufactured.  Use of this technology has positive benefits for national economies.  The use of this technology appears to be forbidden under the provisions of </w:t>
      </w:r>
      <w:r>
        <w:rPr>
          <w:b/>
          <w:bCs/>
          <w:lang w:val="en-GB"/>
        </w:rPr>
        <w:t>5.340</w:t>
      </w:r>
      <w:r>
        <w:rPr>
          <w:lang w:val="en-GB"/>
        </w:rPr>
        <w:t xml:space="preserve"> that states “</w:t>
      </w:r>
      <w:r w:rsidRPr="002339ED">
        <w:rPr>
          <w:lang w:val="en-GB"/>
        </w:rPr>
        <w:t>All emissions are prohibited</w:t>
      </w:r>
      <w:r>
        <w:rPr>
          <w:lang w:val="en-GB"/>
        </w:rPr>
        <w:t>” in 11 bands in 71-275 GHz.</w:t>
      </w:r>
      <w:r w:rsidRPr="002339ED">
        <w:rPr>
          <w:lang w:val="en-GB"/>
        </w:rPr>
        <w:t xml:space="preserve"> </w:t>
      </w:r>
      <w:r>
        <w:rPr>
          <w:lang w:val="en-GB"/>
        </w:rPr>
        <w:t xml:space="preserve">Determining acceptable emission limits for such devices will allow this valuable spectrum </w:t>
      </w:r>
      <w:proofErr w:type="gramStart"/>
      <w:r>
        <w:rPr>
          <w:lang w:val="en-GB"/>
        </w:rPr>
        <w:t>use</w:t>
      </w:r>
      <w:proofErr w:type="gramEnd"/>
      <w:r>
        <w:rPr>
          <w:lang w:val="en-GB"/>
        </w:rPr>
        <w:t xml:space="preserve"> while also protecting the vital spectrum uses that </w:t>
      </w:r>
      <w:r>
        <w:rPr>
          <w:b/>
          <w:bCs/>
          <w:lang w:val="en-GB"/>
        </w:rPr>
        <w:t xml:space="preserve">5.340 </w:t>
      </w:r>
      <w:r>
        <w:rPr>
          <w:lang w:val="en-GB"/>
        </w:rPr>
        <w:t>is intended to protect.</w:t>
      </w:r>
    </w:p>
    <w:p w14:paraId="2777F2F2" w14:textId="77777777" w:rsidR="00403C3A" w:rsidRDefault="00403C3A" w:rsidP="004441CA">
      <w:pPr>
        <w:rPr>
          <w:lang w:val="en-GB"/>
        </w:rPr>
      </w:pPr>
    </w:p>
    <w:p w14:paraId="1465FA04" w14:textId="5DB8927F" w:rsidR="004441CA" w:rsidRPr="00403C3A" w:rsidRDefault="00EA6FED" w:rsidP="00403C3A">
      <w:pPr>
        <w:rPr>
          <w:rStyle w:val="markedcontent"/>
          <w:lang w:val="en-GB"/>
        </w:rPr>
      </w:pPr>
      <w:r>
        <w:rPr>
          <w:lang w:val="en-GB"/>
        </w:rPr>
        <w:t xml:space="preserve">Some administrations may determine use of this technology within their jurisdiction to be either </w:t>
      </w:r>
      <w:r w:rsidR="0059684B">
        <w:rPr>
          <w:lang w:val="en-GB"/>
        </w:rPr>
        <w:t xml:space="preserve">Short Range Device (SRD) or </w:t>
      </w:r>
      <w:r w:rsidRPr="00EA6FED">
        <w:rPr>
          <w:lang w:val="en-GB"/>
        </w:rPr>
        <w:t xml:space="preserve">industrial, scientific and medical </w:t>
      </w:r>
      <w:r>
        <w:rPr>
          <w:lang w:val="en-GB"/>
        </w:rPr>
        <w:t xml:space="preserve">(ISM) </w:t>
      </w:r>
      <w:r w:rsidRPr="00EA6FED">
        <w:rPr>
          <w:lang w:val="en-GB"/>
        </w:rPr>
        <w:t>applications</w:t>
      </w:r>
      <w:r>
        <w:rPr>
          <w:lang w:val="en-GB"/>
        </w:rPr>
        <w:t xml:space="preserve"> </w:t>
      </w:r>
      <w:r w:rsidR="00403C3A">
        <w:rPr>
          <w:lang w:val="en-GB"/>
        </w:rPr>
        <w:t xml:space="preserve">(as USA has done) </w:t>
      </w:r>
      <w:r>
        <w:rPr>
          <w:lang w:val="en-GB"/>
        </w:rPr>
        <w:t xml:space="preserve">and authorize them </w:t>
      </w:r>
      <w:r w:rsidR="0059684B">
        <w:rPr>
          <w:lang w:val="en-GB"/>
        </w:rPr>
        <w:t>and authorize them under the provisions of</w:t>
      </w:r>
      <w:r>
        <w:rPr>
          <w:lang w:val="en-GB"/>
        </w:rPr>
        <w:t xml:space="preserve"> </w:t>
      </w:r>
      <w:r>
        <w:rPr>
          <w:b/>
          <w:bCs/>
          <w:lang w:val="en-GB"/>
        </w:rPr>
        <w:t xml:space="preserve">4.4 </w:t>
      </w:r>
      <w:r w:rsidRPr="0059684B">
        <w:rPr>
          <w:lang w:val="en-GB"/>
        </w:rPr>
        <w:t>or</w:t>
      </w:r>
      <w:r w:rsidR="0059684B">
        <w:rPr>
          <w:b/>
          <w:bCs/>
          <w:lang w:val="en-GB"/>
        </w:rPr>
        <w:t xml:space="preserve"> </w:t>
      </w:r>
      <w:r w:rsidR="0059684B" w:rsidRPr="0059684B">
        <w:rPr>
          <w:b/>
          <w:bCs/>
          <w:lang w:val="en-GB"/>
        </w:rPr>
        <w:t>15.3</w:t>
      </w:r>
      <w:r w:rsidR="0059684B">
        <w:rPr>
          <w:lang w:val="en-GB"/>
        </w:rPr>
        <w:t xml:space="preserve">.  But the restrictions of </w:t>
      </w:r>
      <w:r w:rsidR="0059684B">
        <w:rPr>
          <w:b/>
          <w:bCs/>
          <w:lang w:val="en-GB"/>
        </w:rPr>
        <w:t xml:space="preserve">5.340 </w:t>
      </w:r>
      <w:r w:rsidR="0059684B" w:rsidRPr="0059684B">
        <w:rPr>
          <w:lang w:val="en-GB"/>
        </w:rPr>
        <w:t>apparently still apply to such emissions</w:t>
      </w:r>
      <w:r w:rsidR="0059684B">
        <w:rPr>
          <w:lang w:val="en-GB"/>
        </w:rPr>
        <w:t xml:space="preserve"> unless actions </w:t>
      </w:r>
      <w:proofErr w:type="gramStart"/>
      <w:r w:rsidR="0059684B">
        <w:rPr>
          <w:lang w:val="en-GB"/>
        </w:rPr>
        <w:t>is</w:t>
      </w:r>
      <w:proofErr w:type="gramEnd"/>
      <w:r w:rsidR="0059684B">
        <w:rPr>
          <w:lang w:val="en-GB"/>
        </w:rPr>
        <w:t xml:space="preserve"> taken pursuant to Res. </w:t>
      </w:r>
      <w:r w:rsidR="0059684B">
        <w:rPr>
          <w:b/>
          <w:bCs/>
          <w:lang w:val="en-GB"/>
        </w:rPr>
        <w:t xml:space="preserve">731 </w:t>
      </w:r>
      <w:r w:rsidR="0059684B" w:rsidRPr="0059684B">
        <w:rPr>
          <w:lang w:val="en-GB"/>
        </w:rPr>
        <w:t>to enable authorized sharing of spectrum</w:t>
      </w:r>
      <w:r w:rsidR="0059684B">
        <w:rPr>
          <w:lang w:val="en-GB"/>
        </w:rPr>
        <w:t xml:space="preserve">.  We note that </w:t>
      </w:r>
      <w:r w:rsidR="00D70526">
        <w:rPr>
          <w:lang w:val="en-GB"/>
        </w:rPr>
        <w:t>Part A1</w:t>
      </w:r>
      <w:r w:rsidR="00407042">
        <w:rPr>
          <w:lang w:val="en-GB"/>
        </w:rPr>
        <w:t>/AR4</w:t>
      </w:r>
      <w:r w:rsidR="0059684B">
        <w:rPr>
          <w:lang w:val="en-GB"/>
        </w:rPr>
        <w:t xml:space="preserve"> of the </w:t>
      </w:r>
      <w:r w:rsidR="0059684B" w:rsidRPr="0059684B">
        <w:rPr>
          <w:lang w:val="en-GB"/>
        </w:rPr>
        <w:t>Rules of Procedure</w:t>
      </w:r>
      <w:r w:rsidR="004441CA">
        <w:rPr>
          <w:lang w:val="en-GB"/>
        </w:rPr>
        <w:t xml:space="preserve"> </w:t>
      </w:r>
      <w:r w:rsidR="0059684B" w:rsidRPr="0059684B">
        <w:rPr>
          <w:lang w:val="en-GB"/>
        </w:rPr>
        <w:t>approved by the Radio</w:t>
      </w:r>
      <w:r w:rsidR="0059684B">
        <w:rPr>
          <w:lang w:val="en-GB"/>
        </w:rPr>
        <w:t xml:space="preserve"> </w:t>
      </w:r>
      <w:r w:rsidR="0059684B" w:rsidRPr="0059684B">
        <w:rPr>
          <w:lang w:val="en-GB"/>
        </w:rPr>
        <w:t>Regulations Board</w:t>
      </w:r>
      <w:r w:rsidR="0059684B">
        <w:rPr>
          <w:lang w:val="en-GB"/>
        </w:rPr>
        <w:t xml:space="preserve">, </w:t>
      </w:r>
      <w:r w:rsidR="0059684B" w:rsidRPr="0059684B">
        <w:rPr>
          <w:lang w:val="en-GB"/>
        </w:rPr>
        <w:t>2021 edition (+ rev.2)</w:t>
      </w:r>
      <w:r w:rsidR="0059684B">
        <w:rPr>
          <w:lang w:val="en-GB"/>
        </w:rPr>
        <w:t>, states “</w:t>
      </w:r>
      <w:r w:rsidR="0059684B">
        <w:rPr>
          <w:rStyle w:val="markedcontent"/>
        </w:rPr>
        <w:t xml:space="preserve">The Board considers that, in view of this </w:t>
      </w:r>
      <w:r w:rsidR="004441CA">
        <w:rPr>
          <w:rStyle w:val="markedcontent"/>
        </w:rPr>
        <w:t>(</w:t>
      </w:r>
      <w:r w:rsidR="004441CA">
        <w:rPr>
          <w:rStyle w:val="markedcontent"/>
          <w:b/>
          <w:bCs/>
        </w:rPr>
        <w:t>5.</w:t>
      </w:r>
      <w:r w:rsidR="004441CA" w:rsidRPr="004441CA">
        <w:rPr>
          <w:rStyle w:val="markedcontent"/>
          <w:b/>
          <w:bCs/>
        </w:rPr>
        <w:t>340</w:t>
      </w:r>
      <w:r w:rsidR="004441CA">
        <w:rPr>
          <w:rStyle w:val="markedcontent"/>
        </w:rPr>
        <w:t xml:space="preserve">) </w:t>
      </w:r>
      <w:r w:rsidR="0059684B" w:rsidRPr="004441CA">
        <w:rPr>
          <w:rStyle w:val="markedcontent"/>
        </w:rPr>
        <w:t>prohibition</w:t>
      </w:r>
      <w:r w:rsidR="0059684B">
        <w:rPr>
          <w:rStyle w:val="markedcontent"/>
        </w:rPr>
        <w:t>, a notification concerning</w:t>
      </w:r>
      <w:r w:rsidR="0059684B">
        <w:t xml:space="preserve"> </w:t>
      </w:r>
      <w:r w:rsidR="0059684B">
        <w:rPr>
          <w:rStyle w:val="markedcontent"/>
        </w:rPr>
        <w:t>any other use than those authorized in the band or on the frequencies concerned cannot be</w:t>
      </w:r>
      <w:r w:rsidR="0059684B">
        <w:t xml:space="preserve"> </w:t>
      </w:r>
      <w:r w:rsidR="0059684B">
        <w:rPr>
          <w:rStyle w:val="markedcontent"/>
        </w:rPr>
        <w:t xml:space="preserve">accepted even with a reference to No. 4.4; </w:t>
      </w:r>
      <w:r w:rsidR="00407042">
        <w:rPr>
          <w:rStyle w:val="markedcontent"/>
        </w:rPr>
        <w:t>furthermore,</w:t>
      </w:r>
      <w:r w:rsidR="0059684B">
        <w:rPr>
          <w:rStyle w:val="markedcontent"/>
        </w:rPr>
        <w:t xml:space="preserve"> the administration submitting such a</w:t>
      </w:r>
      <w:r w:rsidR="0059684B">
        <w:t xml:space="preserve"> </w:t>
      </w:r>
      <w:r w:rsidR="0059684B">
        <w:rPr>
          <w:rStyle w:val="markedcontent"/>
        </w:rPr>
        <w:t>notice is urged to abstain from such usage.”</w:t>
      </w:r>
    </w:p>
    <w:p w14:paraId="401DB206" w14:textId="77777777" w:rsidR="004441CA" w:rsidRDefault="004441CA" w:rsidP="00A1709B">
      <w:pPr>
        <w:rPr>
          <w:rStyle w:val="markedcontent"/>
        </w:rPr>
      </w:pPr>
    </w:p>
    <w:p w14:paraId="12C6CF98" w14:textId="24679179" w:rsidR="00A1709B" w:rsidRDefault="00403C3A" w:rsidP="00A1709B">
      <w:r>
        <w:rPr>
          <w:rStyle w:val="markedcontent"/>
        </w:rPr>
        <w:t>I</w:t>
      </w:r>
      <w:r w:rsidR="00B8617A">
        <w:rPr>
          <w:rStyle w:val="markedcontent"/>
        </w:rPr>
        <w:t>t appears tha</w:t>
      </w:r>
      <w:r w:rsidR="00B738B3">
        <w:rPr>
          <w:rStyle w:val="markedcontent"/>
        </w:rPr>
        <w:t>t</w:t>
      </w:r>
      <w:r w:rsidR="00B8617A">
        <w:rPr>
          <w:rStyle w:val="markedcontent"/>
        </w:rPr>
        <w:t xml:space="preserve"> the only possible app</w:t>
      </w:r>
      <w:r w:rsidR="00B738B3">
        <w:rPr>
          <w:rStyle w:val="markedcontent"/>
        </w:rPr>
        <w:t>roach to achi</w:t>
      </w:r>
      <w:r w:rsidR="002721C2">
        <w:rPr>
          <w:rStyle w:val="markedcontent"/>
        </w:rPr>
        <w:t>e</w:t>
      </w:r>
      <w:r w:rsidR="00B738B3">
        <w:rPr>
          <w:rStyle w:val="markedcontent"/>
        </w:rPr>
        <w:t xml:space="preserve">ve the benefits of this new technology </w:t>
      </w:r>
      <w:r>
        <w:rPr>
          <w:rStyle w:val="markedcontent"/>
        </w:rPr>
        <w:t xml:space="preserve">without violating </w:t>
      </w:r>
      <w:r>
        <w:rPr>
          <w:rStyle w:val="markedcontent"/>
          <w:b/>
          <w:bCs/>
        </w:rPr>
        <w:t xml:space="preserve">5.340 </w:t>
      </w:r>
      <w:r w:rsidR="00B738B3">
        <w:rPr>
          <w:rStyle w:val="markedcontent"/>
        </w:rPr>
        <w:t xml:space="preserve">is to use the procedures in </w:t>
      </w:r>
      <w:r w:rsidR="00B738B3" w:rsidRPr="00FA23DB">
        <w:rPr>
          <w:i/>
          <w:iCs/>
          <w:lang w:eastAsia="zh-CN"/>
        </w:rPr>
        <w:t>invites the ITU Radiocommunication Sector</w:t>
      </w:r>
      <w:r w:rsidR="00B738B3" w:rsidRPr="00FA23DB">
        <w:rPr>
          <w:lang w:eastAsia="zh-CN"/>
        </w:rPr>
        <w:t xml:space="preserve"> 1 </w:t>
      </w:r>
      <w:r w:rsidR="00B738B3">
        <w:rPr>
          <w:lang w:eastAsia="zh-CN"/>
        </w:rPr>
        <w:t xml:space="preserve">of </w:t>
      </w:r>
      <w:r w:rsidR="00B738B3">
        <w:rPr>
          <w:rStyle w:val="markedcontent"/>
          <w:b/>
          <w:bCs/>
        </w:rPr>
        <w:t xml:space="preserve">Res.731 </w:t>
      </w:r>
      <w:r w:rsidR="00B738B3">
        <w:rPr>
          <w:rStyle w:val="markedcontent"/>
        </w:rPr>
        <w:t>“</w:t>
      </w:r>
      <w:r w:rsidR="00B738B3" w:rsidRPr="00FA23DB">
        <w:rPr>
          <w:lang w:eastAsia="zh-CN"/>
        </w:rPr>
        <w:t>to determine if and under what conditions sharing is possible between active and passive services in the frequency bands above 71 GHz</w:t>
      </w:r>
      <w:r w:rsidR="00B738B3">
        <w:rPr>
          <w:lang w:eastAsia="zh-CN"/>
        </w:rPr>
        <w:t xml:space="preserve">”.  The </w:t>
      </w:r>
      <w:r w:rsidR="00B738B3">
        <w:rPr>
          <w:lang w:val="en-GB" w:eastAsia="zh-CN"/>
        </w:rPr>
        <w:t>20 November 2020 letter cited above states that “</w:t>
      </w:r>
      <w:r w:rsidR="00B738B3" w:rsidRPr="00FA23DB">
        <w:rPr>
          <w:lang w:eastAsia="zh-CN"/>
        </w:rPr>
        <w:t>WP 7C and 7D, which will be the lead groups</w:t>
      </w:r>
      <w:r w:rsidR="00B738B3">
        <w:rPr>
          <w:lang w:eastAsia="zh-CN"/>
        </w:rPr>
        <w:t>”.  While WP 5B is not mentioned, we believe that that was an oversight and that 5B should have a parallel role for this radiodetermination service since it “</w:t>
      </w:r>
      <w:r w:rsidR="00B738B3">
        <w:t xml:space="preserve">is responsible for studies related to the maritime mobile service, including the Global Maritime Distress and Safety System (GMDSS), the aeronautical mobile service and the </w:t>
      </w:r>
      <w:r w:rsidR="00B738B3" w:rsidRPr="00B738B3">
        <w:rPr>
          <w:b/>
          <w:bCs/>
        </w:rPr>
        <w:t>radiodetermination service</w:t>
      </w:r>
      <w:r w:rsidR="00B738B3">
        <w:t>, including both radiolocation and radionavigation services.”</w:t>
      </w:r>
    </w:p>
    <w:p w14:paraId="088FC274" w14:textId="0E2389C6" w:rsidR="00B738B3" w:rsidRDefault="00B738B3" w:rsidP="00A1709B"/>
    <w:p w14:paraId="04693C29" w14:textId="4ADF4F5C" w:rsidR="007F0E57" w:rsidRDefault="00AD3B1A" w:rsidP="00A1709B">
      <w:pPr>
        <w:rPr>
          <w:lang w:val="en-GB" w:eastAsia="zh-CN"/>
        </w:rPr>
      </w:pPr>
      <w:r>
        <w:rPr>
          <w:lang w:val="en-GB" w:eastAsia="zh-CN"/>
        </w:rPr>
        <w:t xml:space="preserve">On 18 November 2022 CEPT’s Electronics Communications Committee </w:t>
      </w:r>
      <w:r w:rsidR="00A57F23">
        <w:rPr>
          <w:lang w:val="en-GB" w:eastAsia="zh-CN"/>
        </w:rPr>
        <w:t>(ECC)</w:t>
      </w:r>
      <w:r w:rsidR="00516254">
        <w:rPr>
          <w:lang w:val="en-GB" w:eastAsia="zh-CN"/>
        </w:rPr>
        <w:t xml:space="preserve"> </w:t>
      </w:r>
      <w:r>
        <w:rPr>
          <w:lang w:val="en-GB" w:eastAsia="zh-CN"/>
        </w:rPr>
        <w:t xml:space="preserve">approved </w:t>
      </w:r>
      <w:r w:rsidRPr="00AD3B1A">
        <w:rPr>
          <w:lang w:val="en-GB" w:eastAsia="zh-CN"/>
        </w:rPr>
        <w:t>ECC Decision (22)03</w:t>
      </w:r>
      <w:r>
        <w:rPr>
          <w:lang w:val="en-GB" w:eastAsia="zh-CN"/>
        </w:rPr>
        <w:t xml:space="preserve">, </w:t>
      </w:r>
      <w:r w:rsidRPr="00AD3B1A">
        <w:rPr>
          <w:lang w:val="en-GB" w:eastAsia="zh-CN"/>
        </w:rPr>
        <w:t>Technical characteristics, exemption from individual licensing and free circulation and use of specific radiodetermination applications in the frequency range 116-260 GHz</w:t>
      </w:r>
      <w:r>
        <w:rPr>
          <w:lang w:val="en-GB" w:eastAsia="zh-CN"/>
        </w:rPr>
        <w:t>.  Annex 2.6 of this document, “</w:t>
      </w:r>
      <w:r w:rsidRPr="00AD3B1A">
        <w:rPr>
          <w:lang w:val="en-GB" w:eastAsia="zh-CN"/>
        </w:rPr>
        <w:t>A2.6 TECHNICAL REQUIREMENTS FOR RADIODETERMINATION SYSTEMS FOR INDUSTRY AUTOMATION IN SHIELDED ENVIRONMENTS (RDI-S)</w:t>
      </w:r>
      <w:r>
        <w:rPr>
          <w:lang w:val="en-GB" w:eastAsia="zh-CN"/>
        </w:rPr>
        <w:t xml:space="preserve">” contains limits for this type of system addressing both mean and peak </w:t>
      </w:r>
      <w:proofErr w:type="spellStart"/>
      <w:r>
        <w:rPr>
          <w:lang w:val="en-GB" w:eastAsia="zh-CN"/>
        </w:rPr>
        <w:t>e.i.r.p</w:t>
      </w:r>
      <w:proofErr w:type="spellEnd"/>
      <w:r>
        <w:rPr>
          <w:lang w:val="en-GB" w:eastAsia="zh-CN"/>
        </w:rPr>
        <w:t>. and use conditions.</w:t>
      </w:r>
      <w:r w:rsidR="004B77BA">
        <w:rPr>
          <w:lang w:val="en-GB" w:eastAsia="zh-CN"/>
        </w:rPr>
        <w:t xml:space="preserve">  These </w:t>
      </w:r>
      <w:r w:rsidR="007F0E57">
        <w:rPr>
          <w:lang w:val="en-GB" w:eastAsia="zh-CN"/>
        </w:rPr>
        <w:t>limits are attached as the ANNEX.</w:t>
      </w:r>
    </w:p>
    <w:p w14:paraId="52ED89BD" w14:textId="7DCA0833" w:rsidR="00A57F23" w:rsidRDefault="00A57F23" w:rsidP="00A1709B">
      <w:pPr>
        <w:rPr>
          <w:lang w:val="en-GB" w:eastAsia="zh-CN"/>
        </w:rPr>
      </w:pPr>
    </w:p>
    <w:p w14:paraId="661653FC" w14:textId="77777777" w:rsidR="005B6013" w:rsidRPr="005B6013" w:rsidRDefault="00A57F23" w:rsidP="005B6013">
      <w:pPr>
        <w:rPr>
          <w:rStyle w:val="markedcontent"/>
          <w:rFonts w:asciiTheme="majorBidi" w:hAnsiTheme="majorBidi" w:cstheme="majorBidi"/>
        </w:rPr>
      </w:pPr>
      <w:r>
        <w:rPr>
          <w:lang w:val="en-GB" w:eastAsia="zh-CN"/>
        </w:rPr>
        <w:t xml:space="preserve">In considering the adoption of limits in the ANNEX, ECC issued a report </w:t>
      </w:r>
      <w:r w:rsidR="005B6013">
        <w:rPr>
          <w:lang w:val="en-GB" w:eastAsia="zh-CN"/>
        </w:rPr>
        <w:t>with</w:t>
      </w:r>
      <w:r>
        <w:rPr>
          <w:lang w:val="en-GB" w:eastAsia="zh-CN"/>
        </w:rPr>
        <w:t xml:space="preserve"> </w:t>
      </w:r>
      <w:r w:rsidRPr="00370ACA">
        <w:rPr>
          <w:rFonts w:asciiTheme="majorBidi" w:hAnsiTheme="majorBidi" w:cstheme="majorBidi"/>
          <w:lang w:val="en-GB" w:eastAsia="zh-CN"/>
        </w:rPr>
        <w:t>“</w:t>
      </w:r>
      <w:r w:rsidRPr="00370ACA">
        <w:rPr>
          <w:rStyle w:val="markedcontent"/>
          <w:rFonts w:asciiTheme="majorBidi" w:hAnsiTheme="majorBidi" w:cstheme="majorBidi"/>
        </w:rPr>
        <w:t>compatibility studies, which are based on the assumption that a wide contiguous</w:t>
      </w:r>
      <w:r w:rsidRPr="00370ACA">
        <w:rPr>
          <w:rFonts w:asciiTheme="majorBidi" w:hAnsiTheme="majorBidi" w:cstheme="majorBidi"/>
        </w:rPr>
        <w:t xml:space="preserve"> </w:t>
      </w:r>
      <w:r w:rsidRPr="00370ACA">
        <w:rPr>
          <w:rStyle w:val="markedcontent"/>
          <w:rFonts w:asciiTheme="majorBidi" w:hAnsiTheme="majorBidi" w:cstheme="majorBidi"/>
        </w:rPr>
        <w:t>bandwidth was available and also provides the technical justification why the large bandwidths are needed</w:t>
      </w:r>
      <w:r>
        <w:rPr>
          <w:rFonts w:asciiTheme="majorBidi" w:hAnsiTheme="majorBidi" w:cstheme="majorBidi"/>
        </w:rPr>
        <w:t xml:space="preserve"> </w:t>
      </w:r>
      <w:r w:rsidRPr="00370ACA">
        <w:rPr>
          <w:rStyle w:val="markedcontent"/>
          <w:rFonts w:asciiTheme="majorBidi" w:hAnsiTheme="majorBidi" w:cstheme="majorBidi"/>
        </w:rPr>
        <w:t>and why no technical solutions, such as notching out some frequencies, exist to avoid emitting in the RR 5.340</w:t>
      </w:r>
      <w:r w:rsidRPr="00370ACA">
        <w:rPr>
          <w:rFonts w:asciiTheme="majorBidi" w:hAnsiTheme="majorBidi" w:cstheme="majorBidi"/>
        </w:rPr>
        <w:t xml:space="preserve"> </w:t>
      </w:r>
      <w:r w:rsidRPr="00370ACA">
        <w:rPr>
          <w:rStyle w:val="markedcontent"/>
          <w:rFonts w:asciiTheme="majorBidi" w:hAnsiTheme="majorBidi" w:cstheme="majorBidi"/>
        </w:rPr>
        <w:t>bands.</w:t>
      </w:r>
      <w:r w:rsidR="005B6013">
        <w:rPr>
          <w:rStyle w:val="markedcontent"/>
          <w:rFonts w:asciiTheme="majorBidi" w:hAnsiTheme="majorBidi" w:cstheme="majorBidi"/>
        </w:rPr>
        <w:t>”  (</w:t>
      </w:r>
      <w:r w:rsidR="005B6013" w:rsidRPr="005B6013">
        <w:rPr>
          <w:rStyle w:val="markedcontent"/>
          <w:rFonts w:asciiTheme="majorBidi" w:hAnsiTheme="majorBidi" w:cstheme="majorBidi"/>
        </w:rPr>
        <w:t>ECC Report 334</w:t>
      </w:r>
      <w:r w:rsidR="005B6013">
        <w:rPr>
          <w:rStyle w:val="markedcontent"/>
          <w:rFonts w:asciiTheme="majorBidi" w:hAnsiTheme="majorBidi" w:cstheme="majorBidi"/>
        </w:rPr>
        <w:t xml:space="preserve">, </w:t>
      </w:r>
      <w:r w:rsidR="005B6013" w:rsidRPr="005B6013">
        <w:rPr>
          <w:rStyle w:val="markedcontent"/>
          <w:rFonts w:asciiTheme="majorBidi" w:hAnsiTheme="majorBidi" w:cstheme="majorBidi"/>
        </w:rPr>
        <w:t>UWB radiodetermination applications in the frequency</w:t>
      </w:r>
    </w:p>
    <w:p w14:paraId="61286081" w14:textId="60A03A95" w:rsidR="004A3F5B" w:rsidRDefault="005B6013" w:rsidP="004A3F5B">
      <w:pPr>
        <w:rPr>
          <w:rStyle w:val="markedcontent"/>
          <w:rFonts w:asciiTheme="majorBidi" w:hAnsiTheme="majorBidi" w:cstheme="majorBidi"/>
          <w:i/>
          <w:iCs/>
        </w:rPr>
      </w:pPr>
      <w:r w:rsidRPr="005B6013">
        <w:rPr>
          <w:rStyle w:val="markedcontent"/>
          <w:rFonts w:asciiTheme="majorBidi" w:hAnsiTheme="majorBidi" w:cstheme="majorBidi"/>
        </w:rPr>
        <w:t>range 116-260 GHz</w:t>
      </w:r>
      <w:r>
        <w:rPr>
          <w:rStyle w:val="markedcontent"/>
          <w:rFonts w:asciiTheme="majorBidi" w:hAnsiTheme="majorBidi" w:cstheme="majorBidi"/>
        </w:rPr>
        <w:t xml:space="preserve">, </w:t>
      </w:r>
      <w:r w:rsidRPr="005B6013">
        <w:rPr>
          <w:rStyle w:val="markedcontent"/>
          <w:rFonts w:asciiTheme="majorBidi" w:hAnsiTheme="majorBidi" w:cstheme="majorBidi"/>
        </w:rPr>
        <w:t>approved 28 January 2022</w:t>
      </w:r>
      <w:r>
        <w:rPr>
          <w:rStyle w:val="markedcontent"/>
          <w:rFonts w:asciiTheme="majorBidi" w:hAnsiTheme="majorBidi" w:cstheme="majorBidi"/>
        </w:rPr>
        <w:t xml:space="preserve">, </w:t>
      </w:r>
      <w:r w:rsidRPr="005B6013">
        <w:rPr>
          <w:rStyle w:val="markedcontent"/>
          <w:rFonts w:asciiTheme="majorBidi" w:hAnsiTheme="majorBidi" w:cstheme="majorBidi"/>
        </w:rPr>
        <w:t xml:space="preserve">amended 3 February </w:t>
      </w:r>
      <w:proofErr w:type="gramStart"/>
      <w:r w:rsidRPr="005B6013">
        <w:rPr>
          <w:rStyle w:val="markedcontent"/>
          <w:rFonts w:asciiTheme="majorBidi" w:hAnsiTheme="majorBidi" w:cstheme="majorBidi"/>
        </w:rPr>
        <w:t>2023</w:t>
      </w:r>
      <w:r>
        <w:rPr>
          <w:rStyle w:val="markedcontent"/>
          <w:rFonts w:asciiTheme="majorBidi" w:hAnsiTheme="majorBidi" w:cstheme="majorBidi"/>
        </w:rPr>
        <w:t>;</w:t>
      </w:r>
      <w:proofErr w:type="gramEnd"/>
      <w:r>
        <w:rPr>
          <w:rStyle w:val="markedcontent"/>
          <w:rFonts w:asciiTheme="majorBidi" w:hAnsiTheme="majorBidi" w:cstheme="majorBidi"/>
        </w:rPr>
        <w:t xml:space="preserve"> </w:t>
      </w:r>
      <w:hyperlink r:id="rId8" w:history="1">
        <w:r w:rsidRPr="00173431">
          <w:rPr>
            <w:rStyle w:val="Hyperlink"/>
            <w:rFonts w:asciiTheme="majorBidi" w:hAnsiTheme="majorBidi" w:cstheme="majorBidi"/>
          </w:rPr>
          <w:t>https://docdb.cept.org/download/4289</w:t>
        </w:r>
      </w:hyperlink>
      <w:r>
        <w:rPr>
          <w:rStyle w:val="markedcontent"/>
          <w:rFonts w:asciiTheme="majorBidi" w:hAnsiTheme="majorBidi" w:cstheme="majorBidi"/>
        </w:rPr>
        <w:t>).  WP7C and 7D m</w:t>
      </w:r>
      <w:r w:rsidR="00516254">
        <w:rPr>
          <w:rStyle w:val="markedcontent"/>
          <w:rFonts w:asciiTheme="majorBidi" w:hAnsiTheme="majorBidi" w:cstheme="majorBidi"/>
        </w:rPr>
        <w:t>ay</w:t>
      </w:r>
      <w:r>
        <w:rPr>
          <w:rStyle w:val="markedcontent"/>
          <w:rFonts w:asciiTheme="majorBidi" w:hAnsiTheme="majorBidi" w:cstheme="majorBidi"/>
        </w:rPr>
        <w:t xml:space="preserve"> be able to use this ECC analysis </w:t>
      </w:r>
      <w:r w:rsidR="004A3F5B">
        <w:rPr>
          <w:rStyle w:val="markedcontent"/>
          <w:rFonts w:asciiTheme="majorBidi" w:hAnsiTheme="majorBidi" w:cstheme="majorBidi"/>
        </w:rPr>
        <w:t>to</w:t>
      </w:r>
      <w:r>
        <w:rPr>
          <w:rStyle w:val="markedcontent"/>
          <w:rFonts w:asciiTheme="majorBidi" w:hAnsiTheme="majorBidi" w:cstheme="majorBidi"/>
        </w:rPr>
        <w:t xml:space="preserve"> begin their </w:t>
      </w:r>
      <w:r w:rsidR="004A3F5B">
        <w:rPr>
          <w:rStyle w:val="markedcontent"/>
          <w:rFonts w:asciiTheme="majorBidi" w:hAnsiTheme="majorBidi" w:cstheme="majorBidi"/>
        </w:rPr>
        <w:t>deliberations</w:t>
      </w:r>
      <w:r>
        <w:rPr>
          <w:rStyle w:val="markedcontent"/>
          <w:rFonts w:asciiTheme="majorBidi" w:hAnsiTheme="majorBidi" w:cstheme="majorBidi"/>
        </w:rPr>
        <w:t xml:space="preserve"> on this issue</w:t>
      </w:r>
      <w:r w:rsidR="004A3F5B">
        <w:rPr>
          <w:rStyle w:val="markedcontent"/>
          <w:rFonts w:asciiTheme="majorBidi" w:hAnsiTheme="majorBidi" w:cstheme="majorBidi"/>
        </w:rPr>
        <w:t xml:space="preserve"> of whether this technology under either the ECC emission standards or other standards meets the protection goals of </w:t>
      </w:r>
      <w:r w:rsidR="004A3F5B">
        <w:rPr>
          <w:rStyle w:val="markedcontent"/>
          <w:rFonts w:asciiTheme="majorBidi" w:hAnsiTheme="majorBidi" w:cstheme="majorBidi"/>
          <w:b/>
          <w:bCs/>
        </w:rPr>
        <w:t xml:space="preserve">Res. 731 </w:t>
      </w:r>
      <w:r w:rsidR="004A3F5B">
        <w:rPr>
          <w:rStyle w:val="markedcontent"/>
          <w:rFonts w:asciiTheme="majorBidi" w:hAnsiTheme="majorBidi" w:cstheme="majorBidi"/>
        </w:rPr>
        <w:t xml:space="preserve">and proceed in implementing the goals of </w:t>
      </w:r>
      <w:r w:rsidR="004A3F5B">
        <w:rPr>
          <w:rStyle w:val="markedcontent"/>
          <w:rFonts w:asciiTheme="majorBidi" w:hAnsiTheme="majorBidi" w:cstheme="majorBidi"/>
          <w:i/>
          <w:iCs/>
        </w:rPr>
        <w:t xml:space="preserve">invites 5 </w:t>
      </w:r>
      <w:r w:rsidR="004A3F5B">
        <w:rPr>
          <w:rStyle w:val="markedcontent"/>
          <w:rFonts w:asciiTheme="majorBidi" w:hAnsiTheme="majorBidi" w:cstheme="majorBidi"/>
        </w:rPr>
        <w:t xml:space="preserve">and </w:t>
      </w:r>
      <w:r w:rsidR="004A3F5B">
        <w:rPr>
          <w:rStyle w:val="markedcontent"/>
          <w:rFonts w:asciiTheme="majorBidi" w:hAnsiTheme="majorBidi" w:cstheme="majorBidi"/>
          <w:i/>
          <w:iCs/>
        </w:rPr>
        <w:t>6:</w:t>
      </w:r>
    </w:p>
    <w:p w14:paraId="7DF44E93" w14:textId="77777777" w:rsidR="006035EE" w:rsidRDefault="006035EE" w:rsidP="004A3F5B">
      <w:pPr>
        <w:rPr>
          <w:rStyle w:val="markedcontent"/>
          <w:rFonts w:asciiTheme="majorBidi" w:hAnsiTheme="majorBidi" w:cstheme="majorBidi"/>
          <w:i/>
          <w:iCs/>
        </w:rPr>
      </w:pPr>
    </w:p>
    <w:p w14:paraId="5CA83ED9" w14:textId="0D9F7211" w:rsidR="004A3F5B" w:rsidRDefault="004A3F5B" w:rsidP="004A3F5B">
      <w:pPr>
        <w:ind w:left="720"/>
      </w:pPr>
      <w:r>
        <w:t>5</w:t>
      </w:r>
      <w:r>
        <w:tab/>
        <w:t>to complete the necessary studies when the technical characteristics of the active services</w:t>
      </w:r>
      <w:r>
        <w:br/>
        <w:t>in these frequency bands are known;</w:t>
      </w:r>
      <w:r>
        <w:br/>
        <w:t xml:space="preserve">6 </w:t>
      </w:r>
      <w:r>
        <w:tab/>
        <w:t>to develop Recommendations specifying sharing criteria for those frequency bands where sharing is feasible,</w:t>
      </w:r>
    </w:p>
    <w:p w14:paraId="70744058" w14:textId="77777777" w:rsidR="00370ACA" w:rsidRPr="00370ACA" w:rsidRDefault="00370ACA" w:rsidP="00370ACA">
      <w:pPr>
        <w:ind w:left="720"/>
        <w:rPr>
          <w:rFonts w:asciiTheme="majorBidi" w:hAnsiTheme="majorBidi" w:cstheme="majorBidi"/>
          <w:i/>
          <w:iCs/>
          <w:sz w:val="20"/>
          <w:szCs w:val="20"/>
        </w:rPr>
      </w:pPr>
    </w:p>
    <w:p w14:paraId="6044806F" w14:textId="18E3DDAA" w:rsidR="007F0E57" w:rsidRDefault="00370ACA" w:rsidP="00A1709B">
      <w:pPr>
        <w:rPr>
          <w:b/>
          <w:bCs/>
          <w:lang w:val="en-GB" w:eastAsia="zh-CN"/>
        </w:rPr>
      </w:pPr>
      <w:r>
        <w:rPr>
          <w:lang w:val="en-GB" w:eastAsia="zh-CN"/>
        </w:rPr>
        <w:t xml:space="preserve">This will then enable the </w:t>
      </w:r>
      <w:proofErr w:type="gramStart"/>
      <w:r>
        <w:rPr>
          <w:i/>
          <w:iCs/>
          <w:lang w:val="en-GB" w:eastAsia="zh-CN"/>
        </w:rPr>
        <w:t>resolves</w:t>
      </w:r>
      <w:proofErr w:type="gramEnd"/>
      <w:r>
        <w:rPr>
          <w:lang w:val="en-GB" w:eastAsia="zh-CN"/>
        </w:rPr>
        <w:t xml:space="preserve"> goal of </w:t>
      </w:r>
      <w:r>
        <w:rPr>
          <w:b/>
          <w:bCs/>
          <w:lang w:val="en-GB" w:eastAsia="zh-CN"/>
        </w:rPr>
        <w:t>Res. 731</w:t>
      </w:r>
    </w:p>
    <w:p w14:paraId="78BB85AA" w14:textId="77777777" w:rsidR="00370ACA" w:rsidRPr="00370ACA" w:rsidRDefault="00370ACA" w:rsidP="00A1709B">
      <w:pPr>
        <w:rPr>
          <w:b/>
          <w:bCs/>
          <w:lang w:val="en-GB" w:eastAsia="zh-CN"/>
        </w:rPr>
      </w:pPr>
    </w:p>
    <w:p w14:paraId="574ECB2A" w14:textId="5097B5BB" w:rsidR="00370ACA" w:rsidRDefault="00370ACA" w:rsidP="00370ACA">
      <w:pPr>
        <w:ind w:left="720"/>
      </w:pPr>
      <w:r>
        <w:t xml:space="preserve">to invite a future competent world radiocommunication conference to consider the results of ITU-R studies referred to in </w:t>
      </w:r>
      <w:r>
        <w:rPr>
          <w:i/>
          <w:iCs/>
        </w:rPr>
        <w:t>invites the ITU Radiocommunications Sector</w:t>
      </w:r>
      <w:r>
        <w:t xml:space="preserve"> below with a view to taking the necessary action, as appropriate, in order to accommodate the emerging requirements of active services, </w:t>
      </w:r>
      <w:proofErr w:type="gramStart"/>
      <w:r>
        <w:t>taking into account</w:t>
      </w:r>
      <w:proofErr w:type="gramEnd"/>
      <w:r>
        <w:t xml:space="preserve"> the requirements of the passive services, in frequency bands above 71 GHz</w:t>
      </w:r>
    </w:p>
    <w:p w14:paraId="584E8D47" w14:textId="77777777" w:rsidR="00370ACA" w:rsidRPr="00370ACA" w:rsidRDefault="00370ACA" w:rsidP="00516254">
      <w:pPr>
        <w:ind w:left="720"/>
        <w:rPr>
          <w:sz w:val="26"/>
          <w:szCs w:val="26"/>
          <w:lang w:val="en-GB" w:eastAsia="zh-CN"/>
        </w:rPr>
      </w:pPr>
    </w:p>
    <w:p w14:paraId="56A21FF8" w14:textId="7C31AC74" w:rsidR="007F0E57" w:rsidRPr="000E3DCB" w:rsidRDefault="007F0E57" w:rsidP="007F0E57">
      <w:pPr>
        <w:jc w:val="both"/>
      </w:pPr>
      <w:r>
        <w:rPr>
          <w:lang w:eastAsia="zh-CN"/>
        </w:rPr>
        <w:t>WP5B therefore will appreciate feedback from WP</w:t>
      </w:r>
      <w:r w:rsidRPr="007F0E57">
        <w:rPr>
          <w:lang w:eastAsia="zh-CN"/>
        </w:rPr>
        <w:t xml:space="preserve">1A, 5A, 5C, 7C AND 7D </w:t>
      </w:r>
      <w:r>
        <w:rPr>
          <w:lang w:eastAsia="zh-CN"/>
        </w:rPr>
        <w:t xml:space="preserve">on whether the approach in the ANNEX is a good starting point for a determination under the provisions </w:t>
      </w:r>
      <w:proofErr w:type="gramStart"/>
      <w:r>
        <w:rPr>
          <w:lang w:eastAsia="zh-CN"/>
        </w:rPr>
        <w:t xml:space="preserve">of  </w:t>
      </w:r>
      <w:r w:rsidRPr="00FA23DB">
        <w:rPr>
          <w:i/>
          <w:iCs/>
          <w:lang w:eastAsia="zh-CN"/>
        </w:rPr>
        <w:t>invites</w:t>
      </w:r>
      <w:proofErr w:type="gramEnd"/>
      <w:r w:rsidRPr="00FA23DB">
        <w:rPr>
          <w:i/>
          <w:iCs/>
          <w:lang w:eastAsia="zh-CN"/>
        </w:rPr>
        <w:t xml:space="preserve"> the ITU Radiocommunication Sector</w:t>
      </w:r>
      <w:r w:rsidRPr="00FA23DB">
        <w:rPr>
          <w:lang w:eastAsia="zh-CN"/>
        </w:rPr>
        <w:t xml:space="preserve"> 1 </w:t>
      </w:r>
      <w:r>
        <w:rPr>
          <w:lang w:eastAsia="zh-CN"/>
        </w:rPr>
        <w:t>of</w:t>
      </w:r>
      <w:r w:rsidR="00516254">
        <w:rPr>
          <w:lang w:eastAsia="zh-CN"/>
        </w:rPr>
        <w:t xml:space="preserve"> </w:t>
      </w:r>
      <w:r>
        <w:rPr>
          <w:lang w:eastAsia="zh-CN"/>
        </w:rPr>
        <w:t xml:space="preserve"> </w:t>
      </w:r>
      <w:r>
        <w:rPr>
          <w:rStyle w:val="markedcontent"/>
          <w:b/>
          <w:bCs/>
        </w:rPr>
        <w:t>Res.731.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3991"/>
      </w:tblGrid>
      <w:tr w:rsidR="007F0E57" w:rsidRPr="00560C63" w14:paraId="6DDF4411" w14:textId="77777777" w:rsidTr="004338C9">
        <w:tc>
          <w:tcPr>
            <w:tcW w:w="2868" w:type="pct"/>
            <w:shd w:val="clear" w:color="auto" w:fill="FFFFFF" w:themeFill="background1"/>
            <w:hideMark/>
          </w:tcPr>
          <w:p w14:paraId="041BABDD" w14:textId="77777777" w:rsidR="007F0E57" w:rsidRDefault="007F0E57" w:rsidP="004338C9">
            <w:pPr>
              <w:rPr>
                <w:b/>
                <w:lang w:eastAsia="zh-CN"/>
              </w:rPr>
            </w:pPr>
          </w:p>
          <w:p w14:paraId="24B15DDD" w14:textId="2D828B03" w:rsidR="007F0E57" w:rsidRPr="00560C63" w:rsidRDefault="007F0E57" w:rsidP="004338C9">
            <w:pPr>
              <w:rPr>
                <w:b/>
                <w:lang w:eastAsia="zh-CN"/>
              </w:rPr>
            </w:pPr>
            <w:r w:rsidRPr="00560C63">
              <w:rPr>
                <w:b/>
                <w:lang w:eastAsia="zh-CN"/>
              </w:rPr>
              <w:t>Status:</w:t>
            </w:r>
            <w:r w:rsidRPr="00560C63">
              <w:rPr>
                <w:b/>
                <w:lang w:eastAsia="zh-CN"/>
              </w:rPr>
              <w:tab/>
            </w:r>
            <w:r w:rsidRPr="00560C63">
              <w:t>For information</w:t>
            </w:r>
            <w:r>
              <w:t xml:space="preserve"> and action</w:t>
            </w:r>
          </w:p>
        </w:tc>
        <w:tc>
          <w:tcPr>
            <w:tcW w:w="2132" w:type="pct"/>
            <w:shd w:val="clear" w:color="auto" w:fill="FFFFFF" w:themeFill="background1"/>
          </w:tcPr>
          <w:p w14:paraId="436AA8EC" w14:textId="77777777" w:rsidR="007F0E57" w:rsidRPr="00560C63" w:rsidRDefault="007F0E57" w:rsidP="004338C9">
            <w:pPr>
              <w:rPr>
                <w:b/>
                <w:lang w:eastAsia="zh-CN"/>
              </w:rPr>
            </w:pPr>
          </w:p>
        </w:tc>
      </w:tr>
      <w:tr w:rsidR="007F0E57" w:rsidRPr="00560C63" w14:paraId="7545DD60" w14:textId="77777777" w:rsidTr="004338C9">
        <w:tc>
          <w:tcPr>
            <w:tcW w:w="2868" w:type="pct"/>
            <w:shd w:val="clear" w:color="auto" w:fill="FFFFFF" w:themeFill="background1"/>
            <w:hideMark/>
          </w:tcPr>
          <w:p w14:paraId="29433451" w14:textId="040F578B" w:rsidR="007F0E57" w:rsidRPr="00560C63" w:rsidRDefault="007F0E57" w:rsidP="004338C9">
            <w:pPr>
              <w:rPr>
                <w:b/>
                <w:lang w:eastAsia="zh-CN"/>
              </w:rPr>
            </w:pPr>
            <w:r>
              <w:rPr>
                <w:b/>
                <w:lang w:eastAsia="zh-CN"/>
              </w:rPr>
              <w:t xml:space="preserve">Deadline: </w:t>
            </w:r>
            <w:r>
              <w:rPr>
                <w:b/>
                <w:lang w:eastAsia="zh-CN"/>
              </w:rPr>
              <w:tab/>
            </w:r>
            <w:r>
              <w:rPr>
                <w:lang w:eastAsia="zh-CN"/>
              </w:rPr>
              <w:t>[N</w:t>
            </w:r>
            <w:r w:rsidRPr="00560C63">
              <w:rPr>
                <w:lang w:eastAsia="zh-CN"/>
              </w:rPr>
              <w:t xml:space="preserve">ext WP </w:t>
            </w:r>
            <w:r>
              <w:rPr>
                <w:lang w:eastAsia="zh-CN"/>
              </w:rPr>
              <w:t>5B meeting</w:t>
            </w:r>
            <w:r w:rsidRPr="00560C63">
              <w:rPr>
                <w:lang w:eastAsia="zh-CN"/>
              </w:rPr>
              <w:t>]</w:t>
            </w:r>
          </w:p>
        </w:tc>
        <w:tc>
          <w:tcPr>
            <w:tcW w:w="2132" w:type="pct"/>
            <w:shd w:val="clear" w:color="auto" w:fill="FFFFFF" w:themeFill="background1"/>
          </w:tcPr>
          <w:p w14:paraId="123ACFE2" w14:textId="77777777" w:rsidR="007F0E57" w:rsidRPr="00560C63" w:rsidRDefault="007F0E57" w:rsidP="004338C9">
            <w:pPr>
              <w:rPr>
                <w:b/>
                <w:lang w:eastAsia="zh-CN"/>
              </w:rPr>
            </w:pPr>
          </w:p>
        </w:tc>
      </w:tr>
      <w:tr w:rsidR="007F0E57" w:rsidRPr="00560C63" w14:paraId="5BC8457A" w14:textId="77777777" w:rsidTr="004338C9">
        <w:tc>
          <w:tcPr>
            <w:tcW w:w="2868" w:type="pct"/>
            <w:shd w:val="clear" w:color="auto" w:fill="FFFFFF" w:themeFill="background1"/>
          </w:tcPr>
          <w:p w14:paraId="144AA8A2" w14:textId="77777777" w:rsidR="007F0E57" w:rsidRPr="00560C63" w:rsidRDefault="007F0E57" w:rsidP="004338C9">
            <w:pPr>
              <w:rPr>
                <w:lang w:eastAsia="zh-CN"/>
              </w:rPr>
            </w:pPr>
            <w:r w:rsidRPr="00560C63">
              <w:rPr>
                <w:b/>
                <w:lang w:eastAsia="zh-CN"/>
              </w:rPr>
              <w:t>Contact:</w:t>
            </w:r>
            <w:r w:rsidRPr="00560C63">
              <w:rPr>
                <w:lang w:eastAsia="zh-CN"/>
              </w:rPr>
              <w:tab/>
            </w:r>
          </w:p>
        </w:tc>
        <w:tc>
          <w:tcPr>
            <w:tcW w:w="2132" w:type="pct"/>
            <w:shd w:val="clear" w:color="auto" w:fill="FFFFFF" w:themeFill="background1"/>
          </w:tcPr>
          <w:p w14:paraId="0F3412F7" w14:textId="77777777" w:rsidR="007F0E57" w:rsidRPr="00560C63" w:rsidRDefault="007F0E57" w:rsidP="004338C9">
            <w:r w:rsidRPr="00560C63">
              <w:rPr>
                <w:b/>
              </w:rPr>
              <w:t>E-mail:</w:t>
            </w:r>
            <w:r w:rsidRPr="00560C63">
              <w:tab/>
            </w:r>
          </w:p>
        </w:tc>
      </w:tr>
    </w:tbl>
    <w:p w14:paraId="2D1E388E" w14:textId="77777777" w:rsidR="007F0E57" w:rsidRPr="00560C63" w:rsidRDefault="007F0E57" w:rsidP="007F0E57">
      <w:pPr>
        <w:rPr>
          <w:lang w:eastAsia="zh-CN"/>
        </w:rPr>
      </w:pPr>
      <w:r w:rsidRPr="00560C63">
        <w:rPr>
          <w:lang w:eastAsia="zh-CN"/>
        </w:rPr>
        <w:t>_________________</w:t>
      </w:r>
    </w:p>
    <w:p w14:paraId="7B6C7440" w14:textId="77777777" w:rsidR="007F0E57" w:rsidRDefault="007F0E57" w:rsidP="007F0E57"/>
    <w:p w14:paraId="3A652DFD" w14:textId="77777777" w:rsidR="007F0E57" w:rsidRDefault="007F0E57" w:rsidP="00A1709B">
      <w:pPr>
        <w:rPr>
          <w:lang w:val="en-GB" w:eastAsia="zh-CN"/>
        </w:rPr>
      </w:pPr>
    </w:p>
    <w:p w14:paraId="1296DEAB" w14:textId="77777777" w:rsidR="007F0E57" w:rsidRDefault="007F0E57">
      <w:pPr>
        <w:spacing w:after="160" w:line="259" w:lineRule="auto"/>
        <w:rPr>
          <w:lang w:val="en-GB" w:eastAsia="zh-CN"/>
        </w:rPr>
      </w:pPr>
      <w:r>
        <w:rPr>
          <w:lang w:val="en-GB" w:eastAsia="zh-CN"/>
        </w:rPr>
        <w:br w:type="page"/>
      </w:r>
    </w:p>
    <w:p w14:paraId="5324B110" w14:textId="2077658D" w:rsidR="007F0E57" w:rsidRPr="007F0E57" w:rsidRDefault="007F0E57" w:rsidP="006035EE">
      <w:pPr>
        <w:spacing w:after="160" w:line="259" w:lineRule="auto"/>
        <w:jc w:val="center"/>
        <w:rPr>
          <w:b/>
          <w:bCs/>
          <w:lang w:val="en-GB" w:eastAsia="zh-CN"/>
        </w:rPr>
      </w:pPr>
      <w:r w:rsidRPr="007F0E57">
        <w:rPr>
          <w:b/>
          <w:bCs/>
          <w:lang w:val="en-GB" w:eastAsia="zh-CN"/>
        </w:rPr>
        <w:t>ANNEX</w:t>
      </w:r>
    </w:p>
    <w:p w14:paraId="7D26EA64" w14:textId="7B6661A8" w:rsidR="007F0E57" w:rsidRPr="007F0E57" w:rsidRDefault="007F0E57">
      <w:pPr>
        <w:spacing w:after="160" w:line="259" w:lineRule="auto"/>
        <w:rPr>
          <w:b/>
          <w:bCs/>
          <w:lang w:val="en-GB" w:eastAsia="zh-CN"/>
        </w:rPr>
      </w:pPr>
      <w:r w:rsidRPr="007F0E57">
        <w:rPr>
          <w:b/>
          <w:bCs/>
          <w:lang w:val="en-GB" w:eastAsia="zh-CN"/>
        </w:rPr>
        <w:t>EXCERPT OF ECC Decision (22)03</w:t>
      </w:r>
    </w:p>
    <w:p w14:paraId="2E607455" w14:textId="545B774B" w:rsidR="007F0E57" w:rsidRPr="00516254" w:rsidRDefault="007F0E57" w:rsidP="007F0E57">
      <w:pPr>
        <w:pStyle w:val="ECCAnnexheading2"/>
        <w:numPr>
          <w:ilvl w:val="0"/>
          <w:numId w:val="0"/>
        </w:numPr>
        <w:rPr>
          <w:rFonts w:asciiTheme="majorBidi" w:hAnsiTheme="majorBidi" w:cstheme="majorBidi"/>
          <w:sz w:val="24"/>
          <w:lang w:val="en-GB"/>
        </w:rPr>
      </w:pPr>
      <w:bookmarkStart w:id="9" w:name="_Ref104294543"/>
      <w:r w:rsidRPr="00516254">
        <w:rPr>
          <w:rFonts w:asciiTheme="majorBidi" w:hAnsiTheme="majorBidi" w:cstheme="majorBidi"/>
          <w:sz w:val="24"/>
          <w:lang w:val="en-GB"/>
        </w:rPr>
        <w:t>A2.6 Technical requirements for radiodetermination systems for industry automation in shielded environments (RDI-S)</w:t>
      </w:r>
      <w:bookmarkEnd w:id="9"/>
    </w:p>
    <w:p w14:paraId="455BA92F" w14:textId="77777777" w:rsidR="007F0E57" w:rsidRPr="00516254" w:rsidRDefault="007F0E57" w:rsidP="007F0E57">
      <w:pPr>
        <w:jc w:val="both"/>
        <w:rPr>
          <w:rFonts w:asciiTheme="majorBidi" w:hAnsiTheme="majorBidi" w:cstheme="majorBidi"/>
          <w:lang w:val="en-GB"/>
        </w:rPr>
      </w:pPr>
      <w:bookmarkStart w:id="10" w:name="_Ref82011687"/>
      <w:r w:rsidRPr="00516254">
        <w:rPr>
          <w:rFonts w:asciiTheme="majorBidi" w:hAnsiTheme="majorBidi" w:cstheme="majorBidi"/>
          <w:lang w:val="en-GB"/>
        </w:rPr>
        <w:t>Radiodetermination systems for industry automation in shielded environments (RDI-S) are used for sensing unique frequency dependent material properties and/or wideband frequency responses (</w:t>
      </w:r>
      <w:proofErr w:type="gramStart"/>
      <w:r w:rsidRPr="00516254">
        <w:rPr>
          <w:rFonts w:asciiTheme="majorBidi" w:hAnsiTheme="majorBidi" w:cstheme="majorBidi"/>
          <w:lang w:val="en-GB"/>
        </w:rPr>
        <w:t>e.g.</w:t>
      </w:r>
      <w:proofErr w:type="gramEnd"/>
      <w:r w:rsidRPr="00516254">
        <w:rPr>
          <w:rFonts w:asciiTheme="majorBidi" w:hAnsiTheme="majorBidi" w:cstheme="majorBidi"/>
          <w:lang w:val="en-GB"/>
        </w:rPr>
        <w:t xml:space="preserve"> S-parameters to extract other physical properties) of target objects inside buildings (indoors) or in similarly shielded environments. Examples of RDI-S systems are radar sensors for plastic extrusion thickness measurement or for non-destructive testing. The RDI-S application is intended for industrial and professional use only.</w:t>
      </w:r>
    </w:p>
    <w:p w14:paraId="687654C7" w14:textId="77777777" w:rsidR="007F0E57" w:rsidRPr="00516254" w:rsidRDefault="007F0E57" w:rsidP="007F0E57">
      <w:pPr>
        <w:rPr>
          <w:rFonts w:asciiTheme="majorBidi" w:hAnsiTheme="majorBidi" w:cstheme="majorBidi"/>
          <w:b/>
          <w:bCs/>
          <w:color w:val="D2232A"/>
          <w:lang w:val="en-GB"/>
        </w:rPr>
      </w:pPr>
      <w:bookmarkStart w:id="11" w:name="_Ref97885209"/>
      <w:bookmarkStart w:id="12" w:name="_Hlk100577258"/>
      <w:r w:rsidRPr="00516254">
        <w:rPr>
          <w:rFonts w:asciiTheme="majorBidi" w:hAnsiTheme="majorBidi" w:cstheme="majorBidi"/>
          <w:lang w:val="en-GB"/>
        </w:rPr>
        <w:br w:type="page"/>
      </w:r>
    </w:p>
    <w:p w14:paraId="1E9F34EE" w14:textId="77777777" w:rsidR="007F0E57" w:rsidRPr="00516254" w:rsidRDefault="007F0E57" w:rsidP="007F0E57">
      <w:pPr>
        <w:pStyle w:val="Caption"/>
        <w:rPr>
          <w:rFonts w:asciiTheme="majorBidi" w:hAnsiTheme="majorBidi" w:cstheme="majorBidi"/>
          <w:sz w:val="24"/>
          <w:szCs w:val="24"/>
          <w:lang w:val="en-GB"/>
        </w:rPr>
      </w:pPr>
      <w:r w:rsidRPr="00516254">
        <w:rPr>
          <w:rFonts w:asciiTheme="majorBidi" w:hAnsiTheme="majorBidi" w:cstheme="majorBidi"/>
          <w:sz w:val="24"/>
          <w:szCs w:val="24"/>
          <w:lang w:val="en-GB"/>
        </w:rPr>
        <w:t>Table </w:t>
      </w:r>
      <w:r w:rsidRPr="00516254">
        <w:rPr>
          <w:rFonts w:asciiTheme="majorBidi" w:hAnsiTheme="majorBidi" w:cstheme="majorBidi"/>
          <w:sz w:val="24"/>
          <w:szCs w:val="24"/>
          <w:lang w:val="en-GB"/>
        </w:rPr>
        <w:fldChar w:fldCharType="begin"/>
      </w:r>
      <w:r w:rsidRPr="00516254">
        <w:rPr>
          <w:rFonts w:asciiTheme="majorBidi" w:hAnsiTheme="majorBidi" w:cstheme="majorBidi"/>
          <w:sz w:val="24"/>
          <w:szCs w:val="24"/>
          <w:lang w:val="en-GB"/>
        </w:rPr>
        <w:instrText xml:space="preserve"> SEQ Table \* ARABIC </w:instrText>
      </w:r>
      <w:r w:rsidRPr="00516254">
        <w:rPr>
          <w:rFonts w:asciiTheme="majorBidi" w:hAnsiTheme="majorBidi" w:cstheme="majorBidi"/>
          <w:sz w:val="24"/>
          <w:szCs w:val="24"/>
          <w:lang w:val="en-GB"/>
        </w:rPr>
        <w:fldChar w:fldCharType="separate"/>
      </w:r>
      <w:r w:rsidRPr="00516254">
        <w:rPr>
          <w:rFonts w:asciiTheme="majorBidi" w:hAnsiTheme="majorBidi" w:cstheme="majorBidi"/>
          <w:noProof/>
          <w:sz w:val="24"/>
          <w:szCs w:val="24"/>
          <w:lang w:val="en-GB"/>
        </w:rPr>
        <w:t>10</w:t>
      </w:r>
      <w:r w:rsidRPr="00516254">
        <w:rPr>
          <w:rFonts w:asciiTheme="majorBidi" w:hAnsiTheme="majorBidi" w:cstheme="majorBidi"/>
          <w:sz w:val="24"/>
          <w:szCs w:val="24"/>
          <w:lang w:val="en-GB"/>
        </w:rPr>
        <w:fldChar w:fldCharType="end"/>
      </w:r>
      <w:bookmarkEnd w:id="10"/>
      <w:bookmarkEnd w:id="11"/>
      <w:r w:rsidRPr="00516254">
        <w:rPr>
          <w:rFonts w:asciiTheme="majorBidi" w:hAnsiTheme="majorBidi" w:cstheme="majorBidi"/>
          <w:sz w:val="24"/>
          <w:szCs w:val="24"/>
          <w:lang w:val="en-GB"/>
        </w:rPr>
        <w:t>: Technical requirements for RDI-S devices in the designated band 116-260 GHz</w:t>
      </w:r>
    </w:p>
    <w:tbl>
      <w:tblPr>
        <w:tblStyle w:val="ECCTable-redheader"/>
        <w:tblW w:w="8784" w:type="dxa"/>
        <w:tblInd w:w="0" w:type="dxa"/>
        <w:tblLook w:val="04A0" w:firstRow="1" w:lastRow="0" w:firstColumn="1" w:lastColumn="0" w:noHBand="0" w:noVBand="1"/>
      </w:tblPr>
      <w:tblGrid>
        <w:gridCol w:w="2724"/>
        <w:gridCol w:w="1283"/>
        <w:gridCol w:w="1679"/>
        <w:gridCol w:w="1540"/>
        <w:gridCol w:w="1558"/>
      </w:tblGrid>
      <w:tr w:rsidR="007F0E57" w:rsidRPr="00516254" w14:paraId="5F546573" w14:textId="77777777" w:rsidTr="004338C9">
        <w:trPr>
          <w:cnfStyle w:val="100000000000" w:firstRow="1" w:lastRow="0" w:firstColumn="0" w:lastColumn="0" w:oddVBand="0" w:evenVBand="0" w:oddHBand="0" w:evenHBand="0" w:firstRowFirstColumn="0" w:firstRowLastColumn="0" w:lastRowFirstColumn="0" w:lastRowLastColumn="0"/>
        </w:trPr>
        <w:tc>
          <w:tcPr>
            <w:tcW w:w="2830" w:type="dxa"/>
          </w:tcPr>
          <w:p w14:paraId="5CBE51BF" w14:textId="77777777" w:rsidR="007F0E57" w:rsidRPr="00516254" w:rsidRDefault="007F0E57" w:rsidP="004338C9">
            <w:pPr>
              <w:pStyle w:val="ECCTableHeaderwhitefont"/>
              <w:keepNext w:val="0"/>
              <w:spacing w:before="120"/>
              <w:rPr>
                <w:rFonts w:asciiTheme="majorBidi" w:hAnsiTheme="majorBidi" w:cstheme="majorBidi"/>
                <w:sz w:val="24"/>
                <w:szCs w:val="24"/>
              </w:rPr>
            </w:pPr>
            <w:bookmarkStart w:id="13" w:name="_Hlk66287045"/>
            <w:bookmarkEnd w:id="12"/>
            <w:r w:rsidRPr="00516254">
              <w:rPr>
                <w:rFonts w:asciiTheme="majorBidi" w:hAnsiTheme="majorBidi" w:cstheme="majorBidi"/>
                <w:sz w:val="24"/>
                <w:szCs w:val="24"/>
              </w:rPr>
              <w:t>Frequency range</w:t>
            </w:r>
          </w:p>
        </w:tc>
        <w:tc>
          <w:tcPr>
            <w:tcW w:w="1276" w:type="dxa"/>
          </w:tcPr>
          <w:p w14:paraId="0C52EA93" w14:textId="77777777" w:rsidR="007F0E57" w:rsidRPr="00516254" w:rsidRDefault="007F0E57" w:rsidP="004338C9">
            <w:pPr>
              <w:pStyle w:val="ECCTabletext"/>
              <w:rPr>
                <w:rFonts w:asciiTheme="majorBidi" w:hAnsiTheme="majorBidi" w:cstheme="majorBidi"/>
                <w:sz w:val="24"/>
                <w:szCs w:val="24"/>
              </w:rPr>
            </w:pPr>
            <w:r w:rsidRPr="00516254">
              <w:rPr>
                <w:rFonts w:asciiTheme="majorBidi" w:hAnsiTheme="majorBidi" w:cstheme="majorBidi"/>
                <w:sz w:val="24"/>
                <w:szCs w:val="24"/>
              </w:rPr>
              <w:t>Maximum duty cycle</w:t>
            </w:r>
          </w:p>
        </w:tc>
        <w:tc>
          <w:tcPr>
            <w:tcW w:w="1559" w:type="dxa"/>
          </w:tcPr>
          <w:p w14:paraId="63FDC93D" w14:textId="77777777" w:rsidR="007F0E57" w:rsidRPr="00516254" w:rsidRDefault="007F0E57" w:rsidP="004338C9">
            <w:pPr>
              <w:pStyle w:val="ECCTabletext"/>
              <w:rPr>
                <w:rFonts w:asciiTheme="majorBidi" w:hAnsiTheme="majorBidi" w:cstheme="majorBidi"/>
                <w:sz w:val="24"/>
                <w:szCs w:val="24"/>
              </w:rPr>
            </w:pPr>
            <w:r w:rsidRPr="00516254">
              <w:rPr>
                <w:rFonts w:asciiTheme="majorBidi" w:hAnsiTheme="majorBidi" w:cstheme="majorBidi"/>
                <w:sz w:val="24"/>
                <w:szCs w:val="24"/>
              </w:rPr>
              <w:t xml:space="preserve">Maximum mean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spectral density (Note 2)</w:t>
            </w:r>
          </w:p>
        </w:tc>
        <w:tc>
          <w:tcPr>
            <w:tcW w:w="1560" w:type="dxa"/>
          </w:tcPr>
          <w:p w14:paraId="1A1E2013" w14:textId="77777777" w:rsidR="007F0E57" w:rsidRPr="00516254" w:rsidRDefault="007F0E57" w:rsidP="004338C9">
            <w:pPr>
              <w:pStyle w:val="ECCTabletext"/>
              <w:rPr>
                <w:rFonts w:asciiTheme="majorBidi" w:hAnsiTheme="majorBidi" w:cstheme="majorBidi"/>
                <w:sz w:val="24"/>
                <w:szCs w:val="24"/>
              </w:rPr>
            </w:pPr>
            <w:r w:rsidRPr="00516254">
              <w:rPr>
                <w:rFonts w:asciiTheme="majorBidi" w:hAnsiTheme="majorBidi" w:cstheme="majorBidi"/>
                <w:sz w:val="24"/>
                <w:szCs w:val="24"/>
              </w:rPr>
              <w:t xml:space="preserve">Maximum peak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(Note 4)</w:t>
            </w:r>
          </w:p>
        </w:tc>
        <w:tc>
          <w:tcPr>
            <w:tcW w:w="1559" w:type="dxa"/>
          </w:tcPr>
          <w:p w14:paraId="10C1367F" w14:textId="77777777" w:rsidR="007F0E57" w:rsidRPr="00516254" w:rsidRDefault="007F0E57" w:rsidP="004338C9">
            <w:pPr>
              <w:pStyle w:val="ECCTabletext"/>
              <w:rPr>
                <w:rFonts w:asciiTheme="majorBidi" w:hAnsiTheme="majorBidi" w:cstheme="majorBidi"/>
                <w:sz w:val="24"/>
                <w:szCs w:val="24"/>
              </w:rPr>
            </w:pPr>
            <w:r w:rsidRPr="00516254">
              <w:rPr>
                <w:rFonts w:asciiTheme="majorBidi" w:hAnsiTheme="majorBidi" w:cstheme="majorBidi"/>
                <w:sz w:val="24"/>
                <w:szCs w:val="24"/>
              </w:rPr>
              <w:t>Unwanted emission limits (Note 1)</w:t>
            </w:r>
          </w:p>
        </w:tc>
      </w:tr>
      <w:tr w:rsidR="007F0E57" w:rsidRPr="00516254" w14:paraId="01CBC4C4" w14:textId="77777777" w:rsidTr="004338C9">
        <w:tc>
          <w:tcPr>
            <w:tcW w:w="2830" w:type="dxa"/>
            <w:tcBorders>
              <w:bottom w:val="single" w:sz="4" w:space="0" w:color="D22A23"/>
            </w:tcBorders>
          </w:tcPr>
          <w:p w14:paraId="43C4D946" w14:textId="77777777" w:rsidR="007F0E57" w:rsidRPr="00516254" w:rsidRDefault="007F0E57" w:rsidP="004338C9">
            <w:pPr>
              <w:pStyle w:val="ECCTableHeaderwhitefont"/>
              <w:keepNext w:val="0"/>
              <w:spacing w:before="20" w:after="20"/>
              <w:rPr>
                <w:rFonts w:asciiTheme="majorBidi" w:hAnsiTheme="majorBidi" w:cstheme="majorBidi"/>
                <w:sz w:val="24"/>
                <w:szCs w:val="24"/>
              </w:rPr>
            </w:pPr>
          </w:p>
        </w:tc>
        <w:tc>
          <w:tcPr>
            <w:tcW w:w="1276" w:type="dxa"/>
            <w:tcBorders>
              <w:bottom w:val="single" w:sz="4" w:space="0" w:color="D22A23"/>
            </w:tcBorders>
          </w:tcPr>
          <w:p w14:paraId="71D02CDE" w14:textId="77777777" w:rsidR="007F0E57" w:rsidRPr="00516254" w:rsidRDefault="007F0E57" w:rsidP="004338C9">
            <w:pPr>
              <w:pStyle w:val="ECCTabletext"/>
              <w:spacing w:before="20" w:after="20"/>
              <w:jc w:val="left"/>
              <w:rPr>
                <w:rFonts w:asciiTheme="majorBidi" w:hAnsiTheme="majorBidi" w:cstheme="majorBidi"/>
                <w:sz w:val="24"/>
                <w:szCs w:val="24"/>
              </w:rPr>
            </w:pPr>
            <w:r w:rsidRPr="00516254">
              <w:rPr>
                <w:rFonts w:asciiTheme="majorBidi" w:hAnsiTheme="majorBidi" w:cstheme="majorBidi"/>
                <w:b/>
                <w:bCs/>
                <w:sz w:val="24"/>
                <w:szCs w:val="24"/>
              </w:rPr>
              <w:t>A</w:t>
            </w:r>
          </w:p>
        </w:tc>
        <w:tc>
          <w:tcPr>
            <w:tcW w:w="1559" w:type="dxa"/>
            <w:tcBorders>
              <w:bottom w:val="single" w:sz="4" w:space="0" w:color="D22A23"/>
            </w:tcBorders>
          </w:tcPr>
          <w:p w14:paraId="5A5623B4" w14:textId="77777777" w:rsidR="007F0E57" w:rsidRPr="00516254" w:rsidRDefault="007F0E57" w:rsidP="004338C9">
            <w:pPr>
              <w:pStyle w:val="ECCTabletext"/>
              <w:spacing w:before="20" w:after="20"/>
              <w:jc w:val="left"/>
              <w:rPr>
                <w:rFonts w:asciiTheme="majorBidi" w:hAnsiTheme="majorBidi" w:cstheme="majorBidi"/>
                <w:sz w:val="24"/>
                <w:szCs w:val="24"/>
              </w:rPr>
            </w:pPr>
            <w:r w:rsidRPr="00516254">
              <w:rPr>
                <w:rFonts w:asciiTheme="majorBidi" w:hAnsiTheme="majorBidi" w:cstheme="majorBidi"/>
                <w:b/>
                <w:bCs/>
                <w:sz w:val="24"/>
                <w:szCs w:val="24"/>
              </w:rPr>
              <w:t>B</w:t>
            </w:r>
          </w:p>
        </w:tc>
        <w:tc>
          <w:tcPr>
            <w:tcW w:w="1560" w:type="dxa"/>
            <w:tcBorders>
              <w:bottom w:val="single" w:sz="4" w:space="0" w:color="D22A23"/>
            </w:tcBorders>
          </w:tcPr>
          <w:p w14:paraId="35A48F53" w14:textId="77777777" w:rsidR="007F0E57" w:rsidRPr="00516254" w:rsidRDefault="007F0E57" w:rsidP="004338C9">
            <w:pPr>
              <w:pStyle w:val="ECCTabletext"/>
              <w:spacing w:before="20" w:after="20"/>
              <w:jc w:val="left"/>
              <w:rPr>
                <w:rFonts w:asciiTheme="majorBidi" w:hAnsiTheme="majorBidi" w:cstheme="majorBidi"/>
                <w:sz w:val="24"/>
                <w:szCs w:val="24"/>
              </w:rPr>
            </w:pPr>
            <w:r w:rsidRPr="00516254">
              <w:rPr>
                <w:rFonts w:asciiTheme="majorBidi" w:hAnsiTheme="majorBidi" w:cstheme="majorBidi"/>
                <w:b/>
                <w:bCs/>
                <w:sz w:val="24"/>
                <w:szCs w:val="24"/>
              </w:rPr>
              <w:t>C</w:t>
            </w:r>
          </w:p>
        </w:tc>
        <w:tc>
          <w:tcPr>
            <w:tcW w:w="1559" w:type="dxa"/>
          </w:tcPr>
          <w:p w14:paraId="051B4251" w14:textId="77777777" w:rsidR="007F0E57" w:rsidRPr="00516254" w:rsidRDefault="007F0E57" w:rsidP="004338C9">
            <w:pPr>
              <w:pStyle w:val="ECCTabletext"/>
              <w:spacing w:before="20" w:after="20"/>
              <w:jc w:val="left"/>
              <w:rPr>
                <w:rFonts w:asciiTheme="majorBidi" w:hAnsiTheme="majorBidi" w:cstheme="majorBidi"/>
                <w:sz w:val="24"/>
                <w:szCs w:val="24"/>
              </w:rPr>
            </w:pPr>
            <w:r w:rsidRPr="00516254">
              <w:rPr>
                <w:rFonts w:asciiTheme="majorBidi" w:hAnsiTheme="majorBidi" w:cstheme="majorBidi"/>
                <w:b/>
                <w:bCs/>
                <w:sz w:val="24"/>
                <w:szCs w:val="24"/>
              </w:rPr>
              <w:t>D</w:t>
            </w:r>
          </w:p>
        </w:tc>
      </w:tr>
      <w:tr w:rsidR="007F0E57" w:rsidRPr="00516254" w14:paraId="2CD19483" w14:textId="77777777" w:rsidTr="004338C9">
        <w:tc>
          <w:tcPr>
            <w:tcW w:w="2830" w:type="dxa"/>
            <w:shd w:val="clear" w:color="auto" w:fill="auto"/>
          </w:tcPr>
          <w:p w14:paraId="0148548B"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116 to 122.5 GHz</w:t>
            </w:r>
          </w:p>
        </w:tc>
        <w:tc>
          <w:tcPr>
            <w:tcW w:w="1276" w:type="dxa"/>
            <w:shd w:val="clear" w:color="auto" w:fill="auto"/>
          </w:tcPr>
          <w:p w14:paraId="4EE01AF6"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06771E44"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22D0C15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val="restart"/>
            <w:shd w:val="clear" w:color="auto" w:fill="auto"/>
          </w:tcPr>
          <w:p w14:paraId="3D95E7A5" w14:textId="77777777" w:rsidR="007F0E57" w:rsidRPr="00516254" w:rsidRDefault="007F0E57" w:rsidP="004338C9">
            <w:pPr>
              <w:pStyle w:val="ECCTabletext"/>
              <w:jc w:val="left"/>
              <w:rPr>
                <w:rFonts w:asciiTheme="majorBidi" w:hAnsiTheme="majorBidi" w:cstheme="majorBidi"/>
                <w:sz w:val="24"/>
                <w:szCs w:val="24"/>
              </w:rPr>
            </w:pPr>
            <w:r w:rsidRPr="00516254">
              <w:rPr>
                <w:rFonts w:asciiTheme="majorBidi" w:hAnsiTheme="majorBidi" w:cstheme="majorBidi"/>
                <w:sz w:val="24"/>
                <w:szCs w:val="24"/>
              </w:rPr>
              <w:t xml:space="preserve">-15 dBm/MHz max. mean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spectral density (Note 2)</w:t>
            </w:r>
          </w:p>
          <w:p w14:paraId="3AE471E5" w14:textId="77777777" w:rsidR="007F0E57" w:rsidRPr="00516254" w:rsidRDefault="007F0E57" w:rsidP="004338C9">
            <w:pPr>
              <w:pStyle w:val="ECCTabletext"/>
              <w:jc w:val="left"/>
              <w:rPr>
                <w:rFonts w:asciiTheme="majorBidi" w:hAnsiTheme="majorBidi" w:cstheme="majorBidi"/>
                <w:sz w:val="24"/>
                <w:szCs w:val="24"/>
              </w:rPr>
            </w:pPr>
          </w:p>
          <w:p w14:paraId="68F22692" w14:textId="77777777" w:rsidR="007F0E57" w:rsidRPr="00516254" w:rsidRDefault="007F0E57" w:rsidP="004338C9">
            <w:pPr>
              <w:pStyle w:val="ECCTabletext"/>
              <w:jc w:val="left"/>
              <w:rPr>
                <w:rFonts w:asciiTheme="majorBidi" w:hAnsiTheme="majorBidi" w:cstheme="majorBidi"/>
                <w:sz w:val="24"/>
                <w:szCs w:val="24"/>
              </w:rPr>
            </w:pPr>
            <w:r w:rsidRPr="00516254">
              <w:rPr>
                <w:rFonts w:asciiTheme="majorBidi" w:hAnsiTheme="majorBidi" w:cstheme="majorBidi"/>
                <w:sz w:val="24"/>
                <w:szCs w:val="24"/>
              </w:rPr>
              <w:t>and</w:t>
            </w:r>
          </w:p>
          <w:p w14:paraId="2CBE9AB6" w14:textId="77777777" w:rsidR="007F0E57" w:rsidRPr="00516254" w:rsidRDefault="007F0E57" w:rsidP="004338C9">
            <w:pPr>
              <w:pStyle w:val="ECCTabletext"/>
              <w:jc w:val="left"/>
              <w:rPr>
                <w:rFonts w:asciiTheme="majorBidi" w:hAnsiTheme="majorBidi" w:cstheme="majorBidi"/>
                <w:sz w:val="24"/>
                <w:szCs w:val="24"/>
              </w:rPr>
            </w:pPr>
          </w:p>
          <w:p w14:paraId="274212A2" w14:textId="77777777" w:rsidR="007F0E57" w:rsidRPr="00516254" w:rsidRDefault="007F0E57" w:rsidP="004338C9">
            <w:pPr>
              <w:pStyle w:val="ECCTabletext"/>
              <w:jc w:val="left"/>
              <w:rPr>
                <w:rFonts w:asciiTheme="majorBidi" w:hAnsiTheme="majorBidi" w:cstheme="majorBidi"/>
                <w:sz w:val="24"/>
                <w:szCs w:val="24"/>
              </w:rPr>
            </w:pPr>
            <w:r w:rsidRPr="00516254">
              <w:rPr>
                <w:rFonts w:asciiTheme="majorBidi" w:hAnsiTheme="majorBidi" w:cstheme="majorBidi"/>
                <w:sz w:val="24"/>
                <w:szCs w:val="24"/>
              </w:rPr>
              <w:t xml:space="preserve">35 dBm max. peak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(Note 4)</w:t>
            </w:r>
          </w:p>
        </w:tc>
      </w:tr>
      <w:tr w:rsidR="007F0E57" w:rsidRPr="00516254" w14:paraId="543FA603" w14:textId="77777777" w:rsidTr="004338C9">
        <w:tc>
          <w:tcPr>
            <w:tcW w:w="2830" w:type="dxa"/>
            <w:shd w:val="clear" w:color="auto" w:fill="auto"/>
          </w:tcPr>
          <w:p w14:paraId="7F3B4040"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122.5 to 123 GHz</w:t>
            </w:r>
          </w:p>
        </w:tc>
        <w:tc>
          <w:tcPr>
            <w:tcW w:w="1276" w:type="dxa"/>
            <w:shd w:val="clear" w:color="auto" w:fill="auto"/>
          </w:tcPr>
          <w:p w14:paraId="1F1CCF36"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2F461D1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2FD7BADA"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02280475"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17889980" w14:textId="77777777" w:rsidTr="004338C9">
        <w:tc>
          <w:tcPr>
            <w:tcW w:w="2830" w:type="dxa"/>
            <w:shd w:val="clear" w:color="auto" w:fill="auto"/>
          </w:tcPr>
          <w:p w14:paraId="28D0B30F"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123 to 130 GHz</w:t>
            </w:r>
          </w:p>
        </w:tc>
        <w:tc>
          <w:tcPr>
            <w:tcW w:w="1276" w:type="dxa"/>
            <w:shd w:val="clear" w:color="auto" w:fill="auto"/>
          </w:tcPr>
          <w:p w14:paraId="69721B7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599590D5"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 dBm/MHz</w:t>
            </w:r>
          </w:p>
        </w:tc>
        <w:tc>
          <w:tcPr>
            <w:tcW w:w="1560" w:type="dxa"/>
            <w:shd w:val="clear" w:color="auto" w:fill="auto"/>
          </w:tcPr>
          <w:p w14:paraId="59E20FF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60 dBm</w:t>
            </w:r>
          </w:p>
        </w:tc>
        <w:tc>
          <w:tcPr>
            <w:tcW w:w="1559" w:type="dxa"/>
            <w:vMerge/>
            <w:shd w:val="clear" w:color="auto" w:fill="auto"/>
          </w:tcPr>
          <w:p w14:paraId="508BA011"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97ED700" w14:textId="77777777" w:rsidTr="004338C9">
        <w:tc>
          <w:tcPr>
            <w:tcW w:w="2830" w:type="dxa"/>
            <w:shd w:val="clear" w:color="auto" w:fill="auto"/>
          </w:tcPr>
          <w:p w14:paraId="6E75777F"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130 to 134 GHz</w:t>
            </w:r>
          </w:p>
        </w:tc>
        <w:tc>
          <w:tcPr>
            <w:tcW w:w="1276" w:type="dxa"/>
            <w:shd w:val="clear" w:color="auto" w:fill="auto"/>
          </w:tcPr>
          <w:p w14:paraId="2B76459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73586E78"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2292EFC6"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7A055445"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6B653EFE" w14:textId="77777777" w:rsidTr="004338C9">
        <w:tc>
          <w:tcPr>
            <w:tcW w:w="2830" w:type="dxa"/>
            <w:shd w:val="clear" w:color="auto" w:fill="auto"/>
          </w:tcPr>
          <w:p w14:paraId="520ADF42"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134 to 141 GHz</w:t>
            </w:r>
          </w:p>
        </w:tc>
        <w:tc>
          <w:tcPr>
            <w:tcW w:w="1276" w:type="dxa"/>
            <w:shd w:val="clear" w:color="auto" w:fill="auto"/>
          </w:tcPr>
          <w:p w14:paraId="0623D30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2763642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 dBm/MHz</w:t>
            </w:r>
          </w:p>
        </w:tc>
        <w:tc>
          <w:tcPr>
            <w:tcW w:w="1560" w:type="dxa"/>
            <w:shd w:val="clear" w:color="auto" w:fill="auto"/>
          </w:tcPr>
          <w:p w14:paraId="2B06C16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60 dBm</w:t>
            </w:r>
          </w:p>
        </w:tc>
        <w:tc>
          <w:tcPr>
            <w:tcW w:w="1559" w:type="dxa"/>
            <w:vMerge/>
            <w:shd w:val="clear" w:color="auto" w:fill="auto"/>
          </w:tcPr>
          <w:p w14:paraId="3D3668F4"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70CA176B" w14:textId="77777777" w:rsidTr="004338C9">
        <w:tc>
          <w:tcPr>
            <w:tcW w:w="2830" w:type="dxa"/>
            <w:shd w:val="clear" w:color="auto" w:fill="auto"/>
          </w:tcPr>
          <w:p w14:paraId="262E74C3"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141 to 148.5 GHz</w:t>
            </w:r>
          </w:p>
        </w:tc>
        <w:tc>
          <w:tcPr>
            <w:tcW w:w="1276" w:type="dxa"/>
            <w:shd w:val="clear" w:color="auto" w:fill="auto"/>
          </w:tcPr>
          <w:p w14:paraId="5F421243"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04C381B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5B54EAA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63B9FA74"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687E938" w14:textId="77777777" w:rsidTr="004338C9">
        <w:tc>
          <w:tcPr>
            <w:tcW w:w="2830" w:type="dxa"/>
            <w:shd w:val="clear" w:color="auto" w:fill="auto"/>
          </w:tcPr>
          <w:p w14:paraId="13F15790"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148.5 to 151.5 GHz (Note 3)</w:t>
            </w:r>
          </w:p>
        </w:tc>
        <w:tc>
          <w:tcPr>
            <w:tcW w:w="1276" w:type="dxa"/>
            <w:shd w:val="clear" w:color="auto" w:fill="auto"/>
          </w:tcPr>
          <w:p w14:paraId="2CB8F42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4E7C130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08F3B61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089E2897"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4836B743" w14:textId="77777777" w:rsidTr="004338C9">
        <w:tc>
          <w:tcPr>
            <w:tcW w:w="2830" w:type="dxa"/>
            <w:shd w:val="clear" w:color="auto" w:fill="auto"/>
          </w:tcPr>
          <w:p w14:paraId="170AE44F"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151.5 to 158.5 GHz</w:t>
            </w:r>
          </w:p>
        </w:tc>
        <w:tc>
          <w:tcPr>
            <w:tcW w:w="1276" w:type="dxa"/>
            <w:shd w:val="clear" w:color="auto" w:fill="auto"/>
          </w:tcPr>
          <w:p w14:paraId="17E571CF"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584BD423"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7016168F"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1A6C4F9B"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7E1CF44D" w14:textId="77777777" w:rsidTr="004338C9">
        <w:tc>
          <w:tcPr>
            <w:tcW w:w="2830" w:type="dxa"/>
            <w:shd w:val="clear" w:color="auto" w:fill="auto"/>
          </w:tcPr>
          <w:p w14:paraId="762169E4"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158.5 to 164 GHz</w:t>
            </w:r>
          </w:p>
        </w:tc>
        <w:tc>
          <w:tcPr>
            <w:tcW w:w="1276" w:type="dxa"/>
            <w:shd w:val="clear" w:color="auto" w:fill="auto"/>
          </w:tcPr>
          <w:p w14:paraId="7AE846E3"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3BF4646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29BDB47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6DC01CC7"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636B17EA" w14:textId="77777777" w:rsidTr="004338C9">
        <w:tc>
          <w:tcPr>
            <w:tcW w:w="2830" w:type="dxa"/>
            <w:shd w:val="clear" w:color="auto" w:fill="auto"/>
          </w:tcPr>
          <w:p w14:paraId="37D53179"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164 to 167 GHz (Note 3)</w:t>
            </w:r>
          </w:p>
        </w:tc>
        <w:tc>
          <w:tcPr>
            <w:tcW w:w="1276" w:type="dxa"/>
            <w:shd w:val="clear" w:color="auto" w:fill="auto"/>
          </w:tcPr>
          <w:p w14:paraId="08D7C068"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57FD1A44"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23E57D4B"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360470E0"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76759D2" w14:textId="77777777" w:rsidTr="004338C9">
        <w:tc>
          <w:tcPr>
            <w:tcW w:w="2830" w:type="dxa"/>
            <w:shd w:val="clear" w:color="auto" w:fill="auto"/>
          </w:tcPr>
          <w:p w14:paraId="1E816458"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167 to 174.5 GHz</w:t>
            </w:r>
          </w:p>
        </w:tc>
        <w:tc>
          <w:tcPr>
            <w:tcW w:w="1276" w:type="dxa"/>
            <w:shd w:val="clear" w:color="auto" w:fill="auto"/>
          </w:tcPr>
          <w:p w14:paraId="64F352D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65BEF2C0"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6973A35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144F0B0B"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17225EB7" w14:textId="77777777" w:rsidTr="004338C9">
        <w:tc>
          <w:tcPr>
            <w:tcW w:w="2830" w:type="dxa"/>
            <w:shd w:val="clear" w:color="auto" w:fill="auto"/>
          </w:tcPr>
          <w:p w14:paraId="12EDA94E"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174.5 to 174.8 GHz</w:t>
            </w:r>
          </w:p>
        </w:tc>
        <w:tc>
          <w:tcPr>
            <w:tcW w:w="1276" w:type="dxa"/>
            <w:shd w:val="clear" w:color="auto" w:fill="auto"/>
          </w:tcPr>
          <w:p w14:paraId="4284CAE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7B69219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0B3B5D2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7F706D69"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2FE4813F" w14:textId="77777777" w:rsidTr="004338C9">
        <w:tc>
          <w:tcPr>
            <w:tcW w:w="2830" w:type="dxa"/>
            <w:shd w:val="clear" w:color="auto" w:fill="auto"/>
          </w:tcPr>
          <w:p w14:paraId="1C9858D7"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174.8 to 182 GHz</w:t>
            </w:r>
          </w:p>
        </w:tc>
        <w:tc>
          <w:tcPr>
            <w:tcW w:w="1276" w:type="dxa"/>
            <w:shd w:val="clear" w:color="auto" w:fill="auto"/>
          </w:tcPr>
          <w:p w14:paraId="1B94F91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3D2497AF"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 dBm/MHz</w:t>
            </w:r>
          </w:p>
        </w:tc>
        <w:tc>
          <w:tcPr>
            <w:tcW w:w="1560" w:type="dxa"/>
            <w:shd w:val="clear" w:color="auto" w:fill="auto"/>
          </w:tcPr>
          <w:p w14:paraId="3FDBF47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60 dBm</w:t>
            </w:r>
          </w:p>
        </w:tc>
        <w:tc>
          <w:tcPr>
            <w:tcW w:w="1559" w:type="dxa"/>
            <w:vMerge/>
            <w:shd w:val="clear" w:color="auto" w:fill="auto"/>
          </w:tcPr>
          <w:p w14:paraId="743EFFB4"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2E2900EF" w14:textId="77777777" w:rsidTr="004338C9">
        <w:tc>
          <w:tcPr>
            <w:tcW w:w="2830" w:type="dxa"/>
            <w:shd w:val="clear" w:color="auto" w:fill="auto"/>
          </w:tcPr>
          <w:p w14:paraId="6C3F143E"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182 to 185 GHz (Note 3)</w:t>
            </w:r>
          </w:p>
        </w:tc>
        <w:tc>
          <w:tcPr>
            <w:tcW w:w="1276" w:type="dxa"/>
            <w:shd w:val="clear" w:color="auto" w:fill="auto"/>
          </w:tcPr>
          <w:p w14:paraId="4AF87DD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3A01847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67449D4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4E51AB64"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1AAF621A" w14:textId="77777777" w:rsidTr="004338C9">
        <w:tc>
          <w:tcPr>
            <w:tcW w:w="2830" w:type="dxa"/>
            <w:shd w:val="clear" w:color="auto" w:fill="auto"/>
          </w:tcPr>
          <w:p w14:paraId="76158FFC"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185 to 190 GHz</w:t>
            </w:r>
          </w:p>
        </w:tc>
        <w:tc>
          <w:tcPr>
            <w:tcW w:w="1276" w:type="dxa"/>
            <w:shd w:val="clear" w:color="auto" w:fill="auto"/>
          </w:tcPr>
          <w:p w14:paraId="3441BB7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58C1CD6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1DF2987B"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7ED05DE7"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49B349AF" w14:textId="77777777" w:rsidTr="004338C9">
        <w:tc>
          <w:tcPr>
            <w:tcW w:w="2830" w:type="dxa"/>
            <w:shd w:val="clear" w:color="auto" w:fill="auto"/>
          </w:tcPr>
          <w:p w14:paraId="55534A99"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190 to 191.8 GHz (Note 3)</w:t>
            </w:r>
          </w:p>
        </w:tc>
        <w:tc>
          <w:tcPr>
            <w:tcW w:w="1276" w:type="dxa"/>
            <w:shd w:val="clear" w:color="auto" w:fill="auto"/>
          </w:tcPr>
          <w:p w14:paraId="7761B08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79BE799E"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1B4C9A5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64CA8DEA"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7FFD09B" w14:textId="77777777" w:rsidTr="004338C9">
        <w:tc>
          <w:tcPr>
            <w:tcW w:w="2830" w:type="dxa"/>
            <w:shd w:val="clear" w:color="auto" w:fill="auto"/>
          </w:tcPr>
          <w:p w14:paraId="7E1EAC31"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191.8 to 200 GHz</w:t>
            </w:r>
          </w:p>
        </w:tc>
        <w:tc>
          <w:tcPr>
            <w:tcW w:w="1276" w:type="dxa"/>
            <w:shd w:val="clear" w:color="auto" w:fill="auto"/>
          </w:tcPr>
          <w:p w14:paraId="79C0CA0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7413AD62"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31EF7B05"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4B4F3061"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B06201A" w14:textId="77777777" w:rsidTr="004338C9">
        <w:tc>
          <w:tcPr>
            <w:tcW w:w="2830" w:type="dxa"/>
            <w:shd w:val="clear" w:color="auto" w:fill="auto"/>
          </w:tcPr>
          <w:p w14:paraId="6BF29C34"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200 to 209 GHz (Note 3)</w:t>
            </w:r>
          </w:p>
        </w:tc>
        <w:tc>
          <w:tcPr>
            <w:tcW w:w="1276" w:type="dxa"/>
            <w:shd w:val="clear" w:color="auto" w:fill="auto"/>
          </w:tcPr>
          <w:p w14:paraId="555F652F"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47B9A44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37E0EADA"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4A9E6E9B"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4ABF739E" w14:textId="77777777" w:rsidTr="004338C9">
        <w:tc>
          <w:tcPr>
            <w:tcW w:w="2830" w:type="dxa"/>
            <w:shd w:val="clear" w:color="auto" w:fill="auto"/>
          </w:tcPr>
          <w:p w14:paraId="750A5F95"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209 to 226 GHz</w:t>
            </w:r>
          </w:p>
        </w:tc>
        <w:tc>
          <w:tcPr>
            <w:tcW w:w="1276" w:type="dxa"/>
            <w:shd w:val="clear" w:color="auto" w:fill="auto"/>
          </w:tcPr>
          <w:p w14:paraId="2A01C4A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20E2E9E8"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3C342094"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36D2A98E"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1B085233" w14:textId="77777777" w:rsidTr="004338C9">
        <w:tc>
          <w:tcPr>
            <w:tcW w:w="2830" w:type="dxa"/>
            <w:shd w:val="clear" w:color="auto" w:fill="auto"/>
          </w:tcPr>
          <w:p w14:paraId="2DC355BB"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226 to 231.5 GHz (Note 3)</w:t>
            </w:r>
          </w:p>
        </w:tc>
        <w:tc>
          <w:tcPr>
            <w:tcW w:w="1276" w:type="dxa"/>
            <w:shd w:val="clear" w:color="auto" w:fill="auto"/>
          </w:tcPr>
          <w:p w14:paraId="39BCBEE6"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18F460D6"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7233BF1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4635DA66"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5CAB5D0C" w14:textId="77777777" w:rsidTr="004338C9">
        <w:tc>
          <w:tcPr>
            <w:tcW w:w="2830" w:type="dxa"/>
            <w:shd w:val="clear" w:color="auto" w:fill="auto"/>
          </w:tcPr>
          <w:p w14:paraId="29462B85"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231.5 to 235 GHz</w:t>
            </w:r>
          </w:p>
        </w:tc>
        <w:tc>
          <w:tcPr>
            <w:tcW w:w="1276" w:type="dxa"/>
            <w:shd w:val="clear" w:color="auto" w:fill="auto"/>
          </w:tcPr>
          <w:p w14:paraId="0400619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1DAD84C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24CB775F"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2CAF5061"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65A0D7C9" w14:textId="77777777" w:rsidTr="004338C9">
        <w:tc>
          <w:tcPr>
            <w:tcW w:w="2830" w:type="dxa"/>
            <w:shd w:val="clear" w:color="auto" w:fill="auto"/>
          </w:tcPr>
          <w:p w14:paraId="351D7DF6"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235 to 238 GHz</w:t>
            </w:r>
          </w:p>
        </w:tc>
        <w:tc>
          <w:tcPr>
            <w:tcW w:w="1276" w:type="dxa"/>
            <w:shd w:val="clear" w:color="auto" w:fill="auto"/>
          </w:tcPr>
          <w:p w14:paraId="47760FB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1745FF6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7362F78A"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36BF5807"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1F00523A" w14:textId="77777777" w:rsidTr="004338C9">
        <w:tc>
          <w:tcPr>
            <w:tcW w:w="2830" w:type="dxa"/>
            <w:shd w:val="clear" w:color="auto" w:fill="auto"/>
          </w:tcPr>
          <w:p w14:paraId="668332A7"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238 to 241 GHz</w:t>
            </w:r>
          </w:p>
        </w:tc>
        <w:tc>
          <w:tcPr>
            <w:tcW w:w="1276" w:type="dxa"/>
            <w:shd w:val="clear" w:color="auto" w:fill="auto"/>
          </w:tcPr>
          <w:p w14:paraId="523B1B7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409891A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3819423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3C0ECDF7"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6858938B" w14:textId="77777777" w:rsidTr="004338C9">
        <w:tc>
          <w:tcPr>
            <w:tcW w:w="2830" w:type="dxa"/>
            <w:shd w:val="clear" w:color="auto" w:fill="auto"/>
          </w:tcPr>
          <w:p w14:paraId="6A5F3836"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241 to 244 GHz</w:t>
            </w:r>
          </w:p>
        </w:tc>
        <w:tc>
          <w:tcPr>
            <w:tcW w:w="1276" w:type="dxa"/>
            <w:shd w:val="clear" w:color="auto" w:fill="auto"/>
          </w:tcPr>
          <w:p w14:paraId="61FC51D9"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27DCD0B1"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5D3EEE7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52502998"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6DC66B83" w14:textId="77777777" w:rsidTr="004338C9">
        <w:tc>
          <w:tcPr>
            <w:tcW w:w="2830" w:type="dxa"/>
            <w:shd w:val="clear" w:color="auto" w:fill="auto"/>
          </w:tcPr>
          <w:p w14:paraId="292127D8"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244 to 246 GHz</w:t>
            </w:r>
          </w:p>
        </w:tc>
        <w:tc>
          <w:tcPr>
            <w:tcW w:w="1276" w:type="dxa"/>
            <w:shd w:val="clear" w:color="auto" w:fill="auto"/>
          </w:tcPr>
          <w:p w14:paraId="780255F8"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0CA8F665"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4901385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4EDC200D"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0B62705A" w14:textId="77777777" w:rsidTr="004338C9">
        <w:tc>
          <w:tcPr>
            <w:tcW w:w="2830" w:type="dxa"/>
            <w:shd w:val="clear" w:color="auto" w:fill="auto"/>
          </w:tcPr>
          <w:p w14:paraId="701763CB"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246 to 250 GHz</w:t>
            </w:r>
          </w:p>
        </w:tc>
        <w:tc>
          <w:tcPr>
            <w:tcW w:w="1276" w:type="dxa"/>
            <w:shd w:val="clear" w:color="auto" w:fill="auto"/>
          </w:tcPr>
          <w:p w14:paraId="4C5C4F7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0C6177A7"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shd w:val="clear" w:color="auto" w:fill="auto"/>
          </w:tcPr>
          <w:p w14:paraId="1237F8F8"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0856F785"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2971F063" w14:textId="77777777" w:rsidTr="004338C9">
        <w:tc>
          <w:tcPr>
            <w:tcW w:w="2830" w:type="dxa"/>
            <w:shd w:val="clear" w:color="auto" w:fill="auto"/>
          </w:tcPr>
          <w:p w14:paraId="5A7CE7AA"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250 to 252 GHz (Note 3)</w:t>
            </w:r>
          </w:p>
        </w:tc>
        <w:tc>
          <w:tcPr>
            <w:tcW w:w="1276" w:type="dxa"/>
            <w:shd w:val="clear" w:color="auto" w:fill="auto"/>
          </w:tcPr>
          <w:p w14:paraId="04D03CBA"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shd w:val="clear" w:color="auto" w:fill="auto"/>
          </w:tcPr>
          <w:p w14:paraId="43B6687D"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-15 dBm/MHz</w:t>
            </w:r>
          </w:p>
        </w:tc>
        <w:tc>
          <w:tcPr>
            <w:tcW w:w="1560" w:type="dxa"/>
            <w:shd w:val="clear" w:color="auto" w:fill="auto"/>
          </w:tcPr>
          <w:p w14:paraId="47D350BC"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35 dBm</w:t>
            </w:r>
          </w:p>
        </w:tc>
        <w:tc>
          <w:tcPr>
            <w:tcW w:w="1559" w:type="dxa"/>
            <w:vMerge/>
            <w:shd w:val="clear" w:color="auto" w:fill="auto"/>
          </w:tcPr>
          <w:p w14:paraId="10CD2786"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3752412E" w14:textId="77777777" w:rsidTr="004338C9">
        <w:tc>
          <w:tcPr>
            <w:tcW w:w="2830" w:type="dxa"/>
            <w:tcBorders>
              <w:bottom w:val="single" w:sz="4" w:space="0" w:color="D22A23"/>
            </w:tcBorders>
            <w:shd w:val="clear" w:color="auto" w:fill="auto"/>
          </w:tcPr>
          <w:p w14:paraId="131FBBFE" w14:textId="77777777" w:rsidR="007F0E57" w:rsidRPr="00516254" w:rsidRDefault="007F0E57" w:rsidP="004338C9">
            <w:pPr>
              <w:pStyle w:val="ECCTabletext"/>
              <w:keepNext w:val="0"/>
              <w:spacing w:before="0"/>
              <w:jc w:val="left"/>
              <w:rPr>
                <w:rFonts w:asciiTheme="majorBidi" w:hAnsiTheme="majorBidi" w:cstheme="majorBidi"/>
                <w:sz w:val="24"/>
                <w:szCs w:val="24"/>
              </w:rPr>
            </w:pPr>
            <w:r w:rsidRPr="00516254">
              <w:rPr>
                <w:rFonts w:asciiTheme="majorBidi" w:hAnsiTheme="majorBidi" w:cstheme="majorBidi"/>
                <w:sz w:val="24"/>
                <w:szCs w:val="24"/>
              </w:rPr>
              <w:t>252 to 260 GHz</w:t>
            </w:r>
          </w:p>
        </w:tc>
        <w:tc>
          <w:tcPr>
            <w:tcW w:w="1276" w:type="dxa"/>
            <w:tcBorders>
              <w:bottom w:val="single" w:sz="4" w:space="0" w:color="D22A23"/>
            </w:tcBorders>
            <w:shd w:val="clear" w:color="auto" w:fill="auto"/>
          </w:tcPr>
          <w:p w14:paraId="437BB153"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100%</w:t>
            </w:r>
          </w:p>
        </w:tc>
        <w:tc>
          <w:tcPr>
            <w:tcW w:w="1559" w:type="dxa"/>
            <w:tcBorders>
              <w:bottom w:val="single" w:sz="4" w:space="0" w:color="D22A23"/>
            </w:tcBorders>
            <w:shd w:val="clear" w:color="auto" w:fill="auto"/>
          </w:tcPr>
          <w:p w14:paraId="7B4EA3E0"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-5 dBm/MHz</w:t>
            </w:r>
          </w:p>
        </w:tc>
        <w:tc>
          <w:tcPr>
            <w:tcW w:w="1560" w:type="dxa"/>
            <w:tcBorders>
              <w:bottom w:val="single" w:sz="4" w:space="0" w:color="D22A23"/>
            </w:tcBorders>
            <w:shd w:val="clear" w:color="auto" w:fill="auto"/>
          </w:tcPr>
          <w:p w14:paraId="12F1C9B4" w14:textId="77777777" w:rsidR="007F0E57" w:rsidRPr="00516254" w:rsidRDefault="007F0E57" w:rsidP="004338C9">
            <w:pPr>
              <w:pStyle w:val="ECCTabletext"/>
              <w:spacing w:before="0"/>
              <w:jc w:val="left"/>
              <w:rPr>
                <w:rFonts w:asciiTheme="majorBidi" w:hAnsiTheme="majorBidi" w:cstheme="majorBidi"/>
                <w:sz w:val="24"/>
                <w:szCs w:val="24"/>
              </w:rPr>
            </w:pPr>
            <w:r w:rsidRPr="00516254">
              <w:rPr>
                <w:rFonts w:asciiTheme="majorBidi" w:hAnsiTheme="majorBidi" w:cstheme="majorBidi"/>
                <w:sz w:val="24"/>
                <w:szCs w:val="24"/>
              </w:rPr>
              <w:t>45 dBm</w:t>
            </w:r>
          </w:p>
        </w:tc>
        <w:tc>
          <w:tcPr>
            <w:tcW w:w="1559" w:type="dxa"/>
            <w:vMerge/>
            <w:shd w:val="clear" w:color="auto" w:fill="auto"/>
          </w:tcPr>
          <w:p w14:paraId="60D3C5A5" w14:textId="77777777" w:rsidR="007F0E57" w:rsidRPr="00516254" w:rsidRDefault="007F0E57" w:rsidP="004338C9">
            <w:pPr>
              <w:pStyle w:val="ECCTabletext"/>
              <w:rPr>
                <w:rFonts w:asciiTheme="majorBidi" w:hAnsiTheme="majorBidi" w:cstheme="majorBidi"/>
                <w:sz w:val="24"/>
                <w:szCs w:val="24"/>
              </w:rPr>
            </w:pPr>
          </w:p>
        </w:tc>
      </w:tr>
      <w:tr w:rsidR="007F0E57" w:rsidRPr="00516254" w14:paraId="5EBFEFB3" w14:textId="77777777" w:rsidTr="004338C9">
        <w:tc>
          <w:tcPr>
            <w:tcW w:w="8784" w:type="dxa"/>
            <w:gridSpan w:val="5"/>
            <w:shd w:val="clear" w:color="auto" w:fill="auto"/>
          </w:tcPr>
          <w:p w14:paraId="699B4D50" w14:textId="77777777" w:rsidR="007F0E57" w:rsidRPr="00516254" w:rsidRDefault="007F0E57" w:rsidP="004338C9">
            <w:pPr>
              <w:pStyle w:val="ECCTablenote"/>
              <w:rPr>
                <w:rFonts w:asciiTheme="majorBidi" w:hAnsiTheme="majorBidi" w:cstheme="majorBidi"/>
                <w:sz w:val="24"/>
                <w:szCs w:val="24"/>
              </w:rPr>
            </w:pPr>
            <w:r w:rsidRPr="00516254">
              <w:rPr>
                <w:rFonts w:asciiTheme="majorBidi" w:hAnsiTheme="majorBidi" w:cstheme="majorBidi"/>
                <w:sz w:val="24"/>
                <w:szCs w:val="24"/>
              </w:rPr>
              <w:t>Note 1: The operating frequency range (OFR) is defined over the 10 dB reduction of the intentional transmission (“10 dB bandwidth”) radiated by the equipment into the air. The unwanted emission limits apply to the frequencies outside the OFR. The measurement bandwidth for the unwanted emissions domain is 1 </w:t>
            </w:r>
            <w:proofErr w:type="spellStart"/>
            <w:r w:rsidRPr="00516254">
              <w:rPr>
                <w:rFonts w:asciiTheme="majorBidi" w:hAnsiTheme="majorBidi" w:cstheme="majorBidi"/>
                <w:sz w:val="24"/>
                <w:szCs w:val="24"/>
              </w:rPr>
              <w:t>MHz.</w:t>
            </w:r>
            <w:proofErr w:type="spellEnd"/>
          </w:p>
          <w:p w14:paraId="05F1DA78" w14:textId="77777777" w:rsidR="007F0E57" w:rsidRPr="00516254" w:rsidRDefault="007F0E57" w:rsidP="004338C9">
            <w:pPr>
              <w:pStyle w:val="ECCTablenote"/>
              <w:rPr>
                <w:rFonts w:asciiTheme="majorBidi" w:hAnsiTheme="majorBidi" w:cstheme="majorBidi"/>
                <w:sz w:val="24"/>
                <w:szCs w:val="24"/>
              </w:rPr>
            </w:pPr>
            <w:r w:rsidRPr="00516254">
              <w:rPr>
                <w:rFonts w:asciiTheme="majorBidi" w:hAnsiTheme="majorBidi" w:cstheme="majorBidi"/>
                <w:sz w:val="24"/>
                <w:szCs w:val="24"/>
              </w:rPr>
              <w:t xml:space="preserve">Note 2: The given maximum mean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xml:space="preserve">. spectral density is valid for averaging over the whole measurement cycle </w:t>
            </w:r>
            <w:proofErr w:type="spellStart"/>
            <w:r w:rsidRPr="00516254">
              <w:rPr>
                <w:rFonts w:asciiTheme="majorBidi" w:hAnsiTheme="majorBidi" w:cstheme="majorBidi"/>
                <w:sz w:val="24"/>
                <w:szCs w:val="24"/>
              </w:rPr>
              <w:t>T</w:t>
            </w:r>
            <w:r w:rsidRPr="00516254">
              <w:rPr>
                <w:rStyle w:val="ECCHLsubscript"/>
                <w:rFonts w:asciiTheme="majorBidi" w:hAnsiTheme="majorBidi" w:cstheme="majorBidi"/>
                <w:sz w:val="24"/>
                <w:szCs w:val="24"/>
              </w:rPr>
              <w:t>meas_cycle</w:t>
            </w:r>
            <w:proofErr w:type="spellEnd"/>
            <w:r w:rsidRPr="00516254">
              <w:rPr>
                <w:rStyle w:val="ECCHLsubscript"/>
                <w:rFonts w:asciiTheme="majorBidi" w:hAnsiTheme="majorBidi" w:cstheme="majorBidi"/>
                <w:sz w:val="24"/>
                <w:szCs w:val="24"/>
              </w:rPr>
              <w:t xml:space="preserve"> </w:t>
            </w:r>
            <w:r w:rsidRPr="00516254">
              <w:rPr>
                <w:rFonts w:asciiTheme="majorBidi" w:hAnsiTheme="majorBidi" w:cstheme="majorBidi"/>
                <w:sz w:val="24"/>
                <w:szCs w:val="24"/>
              </w:rPr>
              <w:t>of the device including any T</w:t>
            </w:r>
            <w:r w:rsidRPr="00516254">
              <w:rPr>
                <w:rStyle w:val="ECCHLsubscript"/>
                <w:rFonts w:asciiTheme="majorBidi" w:hAnsiTheme="majorBidi" w:cstheme="majorBidi"/>
                <w:sz w:val="24"/>
                <w:szCs w:val="24"/>
              </w:rPr>
              <w:t>off</w:t>
            </w:r>
            <w:r w:rsidRPr="00516254">
              <w:rPr>
                <w:rFonts w:asciiTheme="majorBidi" w:hAnsiTheme="majorBidi" w:cstheme="majorBidi"/>
                <w:sz w:val="24"/>
                <w:szCs w:val="24"/>
              </w:rPr>
              <w:t xml:space="preserve"> times in 1 MHz resolution bandwidth of the measuring receiver.</w:t>
            </w:r>
          </w:p>
          <w:p w14:paraId="2A56F05B" w14:textId="0C72918B" w:rsidR="007F0E57" w:rsidRPr="00516254" w:rsidRDefault="007F0E57" w:rsidP="004338C9">
            <w:pPr>
              <w:pStyle w:val="ECCTablenote"/>
              <w:rPr>
                <w:rFonts w:asciiTheme="majorBidi" w:hAnsiTheme="majorBidi" w:cstheme="majorBidi"/>
                <w:sz w:val="24"/>
                <w:szCs w:val="24"/>
              </w:rPr>
            </w:pPr>
            <w:r w:rsidRPr="00516254">
              <w:rPr>
                <w:rFonts w:asciiTheme="majorBidi" w:hAnsiTheme="majorBidi" w:cstheme="majorBidi"/>
                <w:sz w:val="24"/>
                <w:szCs w:val="24"/>
              </w:rPr>
              <w:t xml:space="preserve">Note 3: Sub-band protected by the provision RR No. 5.340 </w:t>
            </w:r>
            <w:r w:rsidRPr="00516254">
              <w:rPr>
                <w:rFonts w:asciiTheme="majorBidi" w:hAnsiTheme="majorBidi" w:cstheme="majorBidi"/>
                <w:sz w:val="24"/>
                <w:szCs w:val="24"/>
              </w:rPr>
              <w:fldChar w:fldCharType="begin"/>
            </w:r>
            <w:r w:rsidRPr="00516254">
              <w:rPr>
                <w:rFonts w:asciiTheme="majorBidi" w:hAnsiTheme="majorBidi" w:cstheme="majorBidi"/>
                <w:sz w:val="24"/>
                <w:szCs w:val="24"/>
              </w:rPr>
              <w:instrText xml:space="preserve"> REF _Ref111452895 \r \h </w:instrText>
            </w:r>
            <w:r w:rsidR="002721C2" w:rsidRPr="00516254">
              <w:rPr>
                <w:rFonts w:asciiTheme="majorBidi" w:hAnsiTheme="majorBidi" w:cstheme="majorBidi"/>
                <w:sz w:val="24"/>
                <w:szCs w:val="24"/>
              </w:rPr>
              <w:instrText xml:space="preserve"> \* MERGEFORMAT </w:instrText>
            </w:r>
            <w:r w:rsidRPr="00516254">
              <w:rPr>
                <w:rFonts w:asciiTheme="majorBidi" w:hAnsiTheme="majorBidi" w:cstheme="majorBidi"/>
                <w:sz w:val="24"/>
                <w:szCs w:val="24"/>
              </w:rPr>
            </w:r>
            <w:r w:rsidRPr="00516254">
              <w:rPr>
                <w:rFonts w:asciiTheme="majorBidi" w:hAnsiTheme="majorBidi" w:cstheme="majorBidi"/>
                <w:sz w:val="24"/>
                <w:szCs w:val="24"/>
              </w:rPr>
              <w:fldChar w:fldCharType="separate"/>
            </w:r>
            <w:r w:rsidRPr="00516254">
              <w:rPr>
                <w:rFonts w:asciiTheme="majorBidi" w:hAnsiTheme="majorBidi" w:cstheme="majorBidi"/>
                <w:sz w:val="24"/>
                <w:szCs w:val="24"/>
              </w:rPr>
              <w:t>[6]</w:t>
            </w:r>
            <w:r w:rsidRPr="00516254">
              <w:rPr>
                <w:rFonts w:asciiTheme="majorBidi" w:hAnsiTheme="majorBidi" w:cstheme="majorBidi"/>
                <w:sz w:val="24"/>
                <w:szCs w:val="24"/>
              </w:rPr>
              <w:fldChar w:fldCharType="end"/>
            </w:r>
            <w:r w:rsidRPr="00516254">
              <w:rPr>
                <w:rFonts w:asciiTheme="majorBidi" w:hAnsiTheme="majorBidi" w:cstheme="majorBidi"/>
                <w:sz w:val="24"/>
                <w:szCs w:val="24"/>
              </w:rPr>
              <w:t>.</w:t>
            </w:r>
          </w:p>
          <w:p w14:paraId="644FA6D4" w14:textId="77777777" w:rsidR="007F0E57" w:rsidRPr="00516254" w:rsidRDefault="007F0E57" w:rsidP="004338C9">
            <w:pPr>
              <w:pStyle w:val="ECCTablenote"/>
              <w:rPr>
                <w:rFonts w:asciiTheme="majorBidi" w:hAnsiTheme="majorBidi" w:cstheme="majorBidi"/>
                <w:sz w:val="24"/>
                <w:szCs w:val="24"/>
              </w:rPr>
            </w:pPr>
            <w:r w:rsidRPr="00516254">
              <w:rPr>
                <w:rFonts w:asciiTheme="majorBidi" w:hAnsiTheme="majorBidi" w:cstheme="majorBidi"/>
                <w:sz w:val="24"/>
                <w:szCs w:val="24"/>
              </w:rPr>
              <w:t xml:space="preserve">Note 4: The maximum peak </w:t>
            </w:r>
            <w:proofErr w:type="spellStart"/>
            <w:r w:rsidRPr="00516254">
              <w:rPr>
                <w:rFonts w:asciiTheme="majorBidi" w:hAnsiTheme="majorBidi" w:cstheme="majorBidi"/>
                <w:sz w:val="24"/>
                <w:szCs w:val="24"/>
              </w:rPr>
              <w:t>e.i.r.p</w:t>
            </w:r>
            <w:proofErr w:type="spellEnd"/>
            <w:r w:rsidRPr="00516254">
              <w:rPr>
                <w:rFonts w:asciiTheme="majorBidi" w:hAnsiTheme="majorBidi" w:cstheme="majorBidi"/>
                <w:sz w:val="24"/>
                <w:szCs w:val="24"/>
              </w:rPr>
              <w:t>. shall be measured/evaluated in 1 GHz bandwidth.</w:t>
            </w:r>
          </w:p>
        </w:tc>
      </w:tr>
      <w:bookmarkEnd w:id="13"/>
    </w:tbl>
    <w:p w14:paraId="7AFD4D67" w14:textId="77777777" w:rsidR="007F0E57" w:rsidRPr="00516254" w:rsidRDefault="007F0E57" w:rsidP="007F0E57">
      <w:pPr>
        <w:spacing w:after="120"/>
        <w:jc w:val="both"/>
        <w:rPr>
          <w:rFonts w:asciiTheme="majorBidi" w:hAnsiTheme="majorBidi" w:cstheme="majorBidi"/>
          <w:lang w:val="en-GB"/>
        </w:rPr>
      </w:pPr>
    </w:p>
    <w:p w14:paraId="045B9A52" w14:textId="21BD6CA2" w:rsidR="007F0E57" w:rsidRPr="00516254" w:rsidRDefault="007F0E57" w:rsidP="007F0E57">
      <w:pPr>
        <w:spacing w:after="120"/>
        <w:jc w:val="both"/>
        <w:rPr>
          <w:rFonts w:asciiTheme="majorBidi" w:hAnsiTheme="majorBidi" w:cstheme="majorBidi"/>
          <w:lang w:val="en-GB"/>
        </w:rPr>
      </w:pPr>
      <w:r w:rsidRPr="00516254">
        <w:rPr>
          <w:rFonts w:asciiTheme="majorBidi" w:hAnsiTheme="majorBidi" w:cstheme="majorBidi"/>
          <w:lang w:val="en-GB"/>
        </w:rPr>
        <w:t>Additional requirements for radiodetermination systems for industry automation in shielded environments (RDI-S) to allow licence-exempt use:</w:t>
      </w:r>
    </w:p>
    <w:p w14:paraId="493BEBAB"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For RDI-S, the 10 dB contiguous bandwidth shall be equal to or higher than 35 </w:t>
      </w:r>
      <w:proofErr w:type="gramStart"/>
      <w:r w:rsidRPr="00516254">
        <w:rPr>
          <w:rFonts w:asciiTheme="majorBidi" w:hAnsiTheme="majorBidi" w:cstheme="majorBidi"/>
          <w:sz w:val="24"/>
        </w:rPr>
        <w:t>GHz;</w:t>
      </w:r>
      <w:proofErr w:type="gramEnd"/>
    </w:p>
    <w:p w14:paraId="1ACCDB96"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 xml:space="preserve">The operation of RDI-S sensors is envisaged for industrial purposes </w:t>
      </w:r>
      <w:proofErr w:type="gramStart"/>
      <w:r w:rsidRPr="00516254">
        <w:rPr>
          <w:rFonts w:asciiTheme="majorBidi" w:hAnsiTheme="majorBidi" w:cstheme="majorBidi"/>
          <w:sz w:val="24"/>
        </w:rPr>
        <w:t>only;</w:t>
      </w:r>
      <w:proofErr w:type="gramEnd"/>
    </w:p>
    <w:p w14:paraId="4010C283"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 xml:space="preserve">Installation and maintenance of RDI-S equipment shall be performed by professionally trained individuals </w:t>
      </w:r>
      <w:proofErr w:type="gramStart"/>
      <w:r w:rsidRPr="00516254">
        <w:rPr>
          <w:rFonts w:asciiTheme="majorBidi" w:hAnsiTheme="majorBidi" w:cstheme="majorBidi"/>
          <w:sz w:val="24"/>
        </w:rPr>
        <w:t>only;</w:t>
      </w:r>
      <w:proofErr w:type="gramEnd"/>
    </w:p>
    <w:p w14:paraId="5E02FE32"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 xml:space="preserve">RDI-S equipment shall not be marketed to private end </w:t>
      </w:r>
      <w:proofErr w:type="gramStart"/>
      <w:r w:rsidRPr="00516254">
        <w:rPr>
          <w:rFonts w:asciiTheme="majorBidi" w:hAnsiTheme="majorBidi" w:cstheme="majorBidi"/>
          <w:sz w:val="24"/>
        </w:rPr>
        <w:t>customers;</w:t>
      </w:r>
      <w:proofErr w:type="gramEnd"/>
    </w:p>
    <w:p w14:paraId="33DE9F81"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RDI-S equipment shall only be operated indoors (</w:t>
      </w:r>
      <w:proofErr w:type="gramStart"/>
      <w:r w:rsidRPr="00516254">
        <w:rPr>
          <w:rFonts w:asciiTheme="majorBidi" w:hAnsiTheme="majorBidi" w:cstheme="majorBidi"/>
          <w:sz w:val="24"/>
        </w:rPr>
        <w:t>i.e.</w:t>
      </w:r>
      <w:proofErr w:type="gramEnd"/>
      <w:r w:rsidRPr="00516254">
        <w:rPr>
          <w:rFonts w:asciiTheme="majorBidi" w:hAnsiTheme="majorBidi" w:cstheme="majorBidi"/>
          <w:sz w:val="24"/>
        </w:rPr>
        <w:t xml:space="preserve"> inside a building) or inside similarly shielded environments;</w:t>
      </w:r>
    </w:p>
    <w:p w14:paraId="7E99DB72"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 xml:space="preserve">Installers </w:t>
      </w:r>
      <w:proofErr w:type="gramStart"/>
      <w:r w:rsidRPr="00516254">
        <w:rPr>
          <w:rFonts w:asciiTheme="majorBidi" w:hAnsiTheme="majorBidi" w:cstheme="majorBidi"/>
          <w:sz w:val="24"/>
        </w:rPr>
        <w:t>have to</w:t>
      </w:r>
      <w:proofErr w:type="gramEnd"/>
      <w:r w:rsidRPr="00516254">
        <w:rPr>
          <w:rFonts w:asciiTheme="majorBidi" w:hAnsiTheme="majorBidi" w:cstheme="majorBidi"/>
          <w:sz w:val="24"/>
        </w:rPr>
        <w:t xml:space="preserve"> ensure that the device main beam is not pointing towards windows or other weak shielded parts of the shielded environment. The direction of main radiation shall be indicated on the specific radiodetermination </w:t>
      </w:r>
      <w:proofErr w:type="gramStart"/>
      <w:r w:rsidRPr="00516254">
        <w:rPr>
          <w:rFonts w:asciiTheme="majorBidi" w:hAnsiTheme="majorBidi" w:cstheme="majorBidi"/>
          <w:sz w:val="24"/>
        </w:rPr>
        <w:t>device;</w:t>
      </w:r>
      <w:proofErr w:type="gramEnd"/>
    </w:p>
    <w:p w14:paraId="6F849E78"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 xml:space="preserve">Installers have to ensure that there are no unwanted obstacles in the main beam of the antenna in order to minimise unintentional reflections and </w:t>
      </w:r>
      <w:proofErr w:type="gramStart"/>
      <w:r w:rsidRPr="00516254">
        <w:rPr>
          <w:rFonts w:asciiTheme="majorBidi" w:hAnsiTheme="majorBidi" w:cstheme="majorBidi"/>
          <w:sz w:val="24"/>
        </w:rPr>
        <w:t>scattering;</w:t>
      </w:r>
      <w:proofErr w:type="gramEnd"/>
    </w:p>
    <w:p w14:paraId="4DC05DC0" w14:textId="224640BD"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Slow sweeping RDI-S devices with sweep slopes smaller than 2.5 GHz/</w:t>
      </w:r>
      <w:proofErr w:type="spellStart"/>
      <w:r w:rsidRPr="00516254">
        <w:rPr>
          <w:rFonts w:asciiTheme="majorBidi" w:hAnsiTheme="majorBidi" w:cstheme="majorBidi"/>
          <w:sz w:val="24"/>
        </w:rPr>
        <w:t>ms</w:t>
      </w:r>
      <w:proofErr w:type="spellEnd"/>
      <w:r w:rsidRPr="00516254">
        <w:rPr>
          <w:rFonts w:asciiTheme="majorBidi" w:hAnsiTheme="majorBidi" w:cstheme="majorBidi"/>
          <w:sz w:val="24"/>
        </w:rPr>
        <w:t xml:space="preserve"> shall notch-out the frequency bands subject to the provision RR No. 5.340 </w:t>
      </w:r>
      <w:r w:rsidRPr="00516254">
        <w:rPr>
          <w:rFonts w:asciiTheme="majorBidi" w:hAnsiTheme="majorBidi" w:cstheme="majorBidi"/>
          <w:sz w:val="24"/>
        </w:rPr>
        <w:fldChar w:fldCharType="begin"/>
      </w:r>
      <w:r w:rsidRPr="00516254">
        <w:rPr>
          <w:rFonts w:asciiTheme="majorBidi" w:hAnsiTheme="majorBidi" w:cstheme="majorBidi"/>
          <w:sz w:val="24"/>
        </w:rPr>
        <w:instrText xml:space="preserve"> REF _Ref111452895 \r \h </w:instrText>
      </w:r>
      <w:r w:rsidR="002721C2" w:rsidRPr="00516254">
        <w:rPr>
          <w:rFonts w:asciiTheme="majorBidi" w:hAnsiTheme="majorBidi" w:cstheme="majorBidi"/>
          <w:sz w:val="24"/>
        </w:rPr>
        <w:instrText xml:space="preserve"> \* MERGEFORMAT </w:instrText>
      </w:r>
      <w:r w:rsidRPr="00516254">
        <w:rPr>
          <w:rFonts w:asciiTheme="majorBidi" w:hAnsiTheme="majorBidi" w:cstheme="majorBidi"/>
          <w:sz w:val="24"/>
        </w:rPr>
      </w:r>
      <w:r w:rsidRPr="00516254">
        <w:rPr>
          <w:rFonts w:asciiTheme="majorBidi" w:hAnsiTheme="majorBidi" w:cstheme="majorBidi"/>
          <w:sz w:val="24"/>
        </w:rPr>
        <w:fldChar w:fldCharType="separate"/>
      </w:r>
      <w:r w:rsidRPr="00516254">
        <w:rPr>
          <w:rFonts w:asciiTheme="majorBidi" w:hAnsiTheme="majorBidi" w:cstheme="majorBidi"/>
          <w:sz w:val="24"/>
        </w:rPr>
        <w:t>[6]</w:t>
      </w:r>
      <w:r w:rsidRPr="00516254">
        <w:rPr>
          <w:rFonts w:asciiTheme="majorBidi" w:hAnsiTheme="majorBidi" w:cstheme="majorBidi"/>
          <w:sz w:val="24"/>
        </w:rPr>
        <w:fldChar w:fldCharType="end"/>
      </w:r>
      <w:r w:rsidRPr="00516254">
        <w:rPr>
          <w:rFonts w:asciiTheme="majorBidi" w:hAnsiTheme="majorBidi" w:cstheme="majorBidi"/>
          <w:sz w:val="24"/>
        </w:rPr>
        <w:t xml:space="preserve"> by at least additional 10 dB reduction in mean and peak power (</w:t>
      </w:r>
      <w:proofErr w:type="gramStart"/>
      <w:r w:rsidRPr="00516254">
        <w:rPr>
          <w:rFonts w:asciiTheme="majorBidi" w:hAnsiTheme="majorBidi" w:cstheme="majorBidi"/>
          <w:sz w:val="24"/>
        </w:rPr>
        <w:t>i.e.</w:t>
      </w:r>
      <w:proofErr w:type="gramEnd"/>
      <w:r w:rsidRPr="00516254">
        <w:rPr>
          <w:rFonts w:asciiTheme="majorBidi" w:hAnsiTheme="majorBidi" w:cstheme="majorBidi"/>
          <w:sz w:val="24"/>
        </w:rPr>
        <w:t xml:space="preserve"> limits in Table 10 columns B and C reduced by 10 dB);</w:t>
      </w:r>
    </w:p>
    <w:p w14:paraId="67D967D6" w14:textId="77777777" w:rsidR="007F0E57" w:rsidRPr="00516254" w:rsidRDefault="007F0E57" w:rsidP="007F0E57">
      <w:pPr>
        <w:pStyle w:val="NumberedList"/>
        <w:numPr>
          <w:ilvl w:val="0"/>
          <w:numId w:val="4"/>
        </w:numPr>
        <w:spacing w:after="120"/>
        <w:rPr>
          <w:rFonts w:asciiTheme="majorBidi" w:hAnsiTheme="majorBidi" w:cstheme="majorBidi"/>
          <w:sz w:val="24"/>
          <w:shd w:val="solid" w:color="FFFF00" w:fill="auto"/>
        </w:rPr>
      </w:pPr>
      <w:r w:rsidRPr="00516254">
        <w:rPr>
          <w:rFonts w:asciiTheme="majorBidi" w:hAnsiTheme="majorBidi" w:cstheme="majorBidi"/>
          <w:sz w:val="24"/>
        </w:rPr>
        <w:t xml:space="preserve">The provider is required to inform the users and installers of RDI-S equipment about the installation requirements and additional special mounting </w:t>
      </w:r>
      <w:proofErr w:type="gramStart"/>
      <w:r w:rsidRPr="00516254">
        <w:rPr>
          <w:rFonts w:asciiTheme="majorBidi" w:hAnsiTheme="majorBidi" w:cstheme="majorBidi"/>
          <w:sz w:val="24"/>
        </w:rPr>
        <w:t>instructions;</w:t>
      </w:r>
      <w:proofErr w:type="gramEnd"/>
    </w:p>
    <w:p w14:paraId="1A717BD3" w14:textId="77777777" w:rsidR="007F0E57" w:rsidRPr="00516254" w:rsidRDefault="007F0E57" w:rsidP="007F0E57">
      <w:pPr>
        <w:pStyle w:val="NumberedList"/>
        <w:numPr>
          <w:ilvl w:val="0"/>
          <w:numId w:val="4"/>
        </w:numPr>
        <w:spacing w:after="120"/>
        <w:rPr>
          <w:rFonts w:asciiTheme="majorBidi" w:hAnsiTheme="majorBidi" w:cstheme="majorBidi"/>
          <w:sz w:val="24"/>
        </w:rPr>
      </w:pPr>
      <w:r w:rsidRPr="00516254">
        <w:rPr>
          <w:rFonts w:asciiTheme="majorBidi" w:hAnsiTheme="majorBidi" w:cstheme="majorBidi"/>
          <w:sz w:val="24"/>
        </w:rPr>
        <w:t>For RDI-S devices using an antenna gain smaller than 20 </w:t>
      </w:r>
      <w:proofErr w:type="spellStart"/>
      <w:r w:rsidRPr="00516254">
        <w:rPr>
          <w:rFonts w:asciiTheme="majorBidi" w:hAnsiTheme="majorBidi" w:cstheme="majorBidi"/>
          <w:sz w:val="24"/>
        </w:rPr>
        <w:t>dBi</w:t>
      </w:r>
      <w:proofErr w:type="spellEnd"/>
      <w:r w:rsidRPr="00516254">
        <w:rPr>
          <w:rFonts w:asciiTheme="majorBidi" w:hAnsiTheme="majorBidi" w:cstheme="majorBidi"/>
          <w:sz w:val="24"/>
        </w:rPr>
        <w:t>, the maximum conducted peak output power shall be limited to 15 dBm.</w:t>
      </w:r>
    </w:p>
    <w:p w14:paraId="69D02169" w14:textId="32BA9A07" w:rsidR="00A1709B" w:rsidRPr="00A1709B" w:rsidRDefault="00A1709B" w:rsidP="00EC0314">
      <w:pPr>
        <w:spacing w:after="160" w:line="259" w:lineRule="auto"/>
        <w:rPr>
          <w:lang w:val="en-GB" w:eastAsia="zh-CN"/>
        </w:rPr>
      </w:pPr>
    </w:p>
    <w:sectPr w:rsidR="00A1709B" w:rsidRPr="00A170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F3C9" w14:textId="77777777" w:rsidR="00895BD6" w:rsidRDefault="00895BD6" w:rsidP="00D73705">
      <w:r>
        <w:separator/>
      </w:r>
    </w:p>
  </w:endnote>
  <w:endnote w:type="continuationSeparator" w:id="0">
    <w:p w14:paraId="6C5E61E0" w14:textId="77777777" w:rsidR="00895BD6" w:rsidRDefault="00895BD6"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0710" w14:textId="77777777" w:rsidR="00403C3A" w:rsidRDefault="00403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29DC" w14:textId="77777777" w:rsidR="00403C3A" w:rsidRDefault="00403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2CB5" w14:textId="77777777" w:rsidR="00403C3A" w:rsidRDefault="00403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7AB2" w14:textId="77777777" w:rsidR="00895BD6" w:rsidRDefault="00895BD6" w:rsidP="00D73705">
      <w:r>
        <w:separator/>
      </w:r>
    </w:p>
  </w:footnote>
  <w:footnote w:type="continuationSeparator" w:id="0">
    <w:p w14:paraId="43DC5182" w14:textId="77777777" w:rsidR="00895BD6" w:rsidRDefault="00895BD6"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3F1FDCF4"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446C6265"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63473DEF"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4188"/>
    <w:multiLevelType w:val="multilevel"/>
    <w:tmpl w:val="51A6A27C"/>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5820ACB"/>
    <w:multiLevelType w:val="multilevel"/>
    <w:tmpl w:val="2C3695C0"/>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63253F59"/>
    <w:multiLevelType w:val="hybridMultilevel"/>
    <w:tmpl w:val="F872AF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1105463497">
    <w:abstractNumId w:val="2"/>
  </w:num>
  <w:num w:numId="2" w16cid:durableId="1438405608">
    <w:abstractNumId w:val="0"/>
  </w:num>
  <w:num w:numId="3" w16cid:durableId="1074861294">
    <w:abstractNumId w:val="3"/>
  </w:num>
  <w:num w:numId="4" w16cid:durableId="62346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F44B5"/>
    <w:rsid w:val="00115FEB"/>
    <w:rsid w:val="001573A5"/>
    <w:rsid w:val="0023016B"/>
    <w:rsid w:val="002339ED"/>
    <w:rsid w:val="002721C2"/>
    <w:rsid w:val="002B370D"/>
    <w:rsid w:val="002B4A70"/>
    <w:rsid w:val="00334312"/>
    <w:rsid w:val="00370ACA"/>
    <w:rsid w:val="00377072"/>
    <w:rsid w:val="003776AC"/>
    <w:rsid w:val="00382C4E"/>
    <w:rsid w:val="00394F33"/>
    <w:rsid w:val="003B49BE"/>
    <w:rsid w:val="00403C3A"/>
    <w:rsid w:val="00407042"/>
    <w:rsid w:val="00434A34"/>
    <w:rsid w:val="00437162"/>
    <w:rsid w:val="004441CA"/>
    <w:rsid w:val="0048425B"/>
    <w:rsid w:val="004844D6"/>
    <w:rsid w:val="004A162C"/>
    <w:rsid w:val="004A3F5B"/>
    <w:rsid w:val="004B77BA"/>
    <w:rsid w:val="00516254"/>
    <w:rsid w:val="005511DE"/>
    <w:rsid w:val="005555F3"/>
    <w:rsid w:val="0059684B"/>
    <w:rsid w:val="005B6013"/>
    <w:rsid w:val="005F539E"/>
    <w:rsid w:val="006035EE"/>
    <w:rsid w:val="006164C9"/>
    <w:rsid w:val="00654F3B"/>
    <w:rsid w:val="006769D1"/>
    <w:rsid w:val="006D17BF"/>
    <w:rsid w:val="00764452"/>
    <w:rsid w:val="00790A03"/>
    <w:rsid w:val="007F0E57"/>
    <w:rsid w:val="008925B4"/>
    <w:rsid w:val="008946B9"/>
    <w:rsid w:val="00895BD6"/>
    <w:rsid w:val="008D52A2"/>
    <w:rsid w:val="00934DE2"/>
    <w:rsid w:val="00940811"/>
    <w:rsid w:val="00957E23"/>
    <w:rsid w:val="00962C44"/>
    <w:rsid w:val="0098279C"/>
    <w:rsid w:val="00996675"/>
    <w:rsid w:val="009C42F8"/>
    <w:rsid w:val="009D19CD"/>
    <w:rsid w:val="009D3088"/>
    <w:rsid w:val="009E452E"/>
    <w:rsid w:val="00A0248A"/>
    <w:rsid w:val="00A1709B"/>
    <w:rsid w:val="00A30D7E"/>
    <w:rsid w:val="00A56C6F"/>
    <w:rsid w:val="00A57F23"/>
    <w:rsid w:val="00AA59E9"/>
    <w:rsid w:val="00AC6380"/>
    <w:rsid w:val="00AD3B1A"/>
    <w:rsid w:val="00B53D94"/>
    <w:rsid w:val="00B628D0"/>
    <w:rsid w:val="00B67448"/>
    <w:rsid w:val="00B738B3"/>
    <w:rsid w:val="00B8617A"/>
    <w:rsid w:val="00C17C11"/>
    <w:rsid w:val="00C22091"/>
    <w:rsid w:val="00C30DD5"/>
    <w:rsid w:val="00C52078"/>
    <w:rsid w:val="00CC0A17"/>
    <w:rsid w:val="00D40FA3"/>
    <w:rsid w:val="00D52843"/>
    <w:rsid w:val="00D70526"/>
    <w:rsid w:val="00D71557"/>
    <w:rsid w:val="00D71F75"/>
    <w:rsid w:val="00D73705"/>
    <w:rsid w:val="00E658D1"/>
    <w:rsid w:val="00EA6FED"/>
    <w:rsid w:val="00EC0314"/>
    <w:rsid w:val="00EC09AF"/>
    <w:rsid w:val="00ED3793"/>
    <w:rsid w:val="00EF5442"/>
    <w:rsid w:val="00F8475F"/>
    <w:rsid w:val="00FA44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paragraph" w:customStyle="1" w:styleId="Normalaftertitle">
    <w:name w:val="Normal_after_title"/>
    <w:basedOn w:val="Normal"/>
    <w:next w:val="Normal"/>
    <w:link w:val="NormalaftertitleChar"/>
    <w:rsid w:val="00962C44"/>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Source">
    <w:name w:val="Source"/>
    <w:basedOn w:val="Normal"/>
    <w:next w:val="Normal"/>
    <w:link w:val="SourceChar"/>
    <w:rsid w:val="00962C44"/>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962C44"/>
    <w:pPr>
      <w:tabs>
        <w:tab w:val="left" w:pos="567"/>
        <w:tab w:val="left" w:pos="1701"/>
        <w:tab w:val="left" w:pos="2835"/>
      </w:tabs>
      <w:spacing w:before="240"/>
    </w:pPr>
    <w:rPr>
      <w:b w:val="0"/>
      <w:caps/>
    </w:rPr>
  </w:style>
  <w:style w:type="paragraph" w:customStyle="1" w:styleId="Title4">
    <w:name w:val="Title 4"/>
    <w:basedOn w:val="Normal"/>
    <w:next w:val="Heading1"/>
    <w:rsid w:val="00962C44"/>
    <w:pPr>
      <w:tabs>
        <w:tab w:val="left" w:pos="1134"/>
        <w:tab w:val="left" w:pos="1871"/>
        <w:tab w:val="left" w:pos="2268"/>
      </w:tabs>
      <w:spacing w:before="240"/>
      <w:jc w:val="center"/>
    </w:pPr>
    <w:rPr>
      <w:b/>
      <w:sz w:val="28"/>
      <w:szCs w:val="20"/>
      <w:lang w:val="en-GB"/>
    </w:rPr>
  </w:style>
  <w:style w:type="table" w:customStyle="1" w:styleId="TableGrid1">
    <w:name w:val="Table Grid1"/>
    <w:basedOn w:val="TableNormal"/>
    <w:next w:val="TableGrid"/>
    <w:rsid w:val="0096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2C44"/>
    <w:pPr>
      <w:tabs>
        <w:tab w:val="left" w:pos="1134"/>
        <w:tab w:val="left" w:pos="1871"/>
        <w:tab w:val="left" w:pos="2268"/>
      </w:tabs>
      <w:overflowPunct w:val="0"/>
      <w:autoSpaceDE w:val="0"/>
      <w:autoSpaceDN w:val="0"/>
      <w:adjustRightInd w:val="0"/>
      <w:spacing w:before="120"/>
      <w:ind w:left="720"/>
      <w:contextualSpacing/>
      <w:textAlignment w:val="baseline"/>
    </w:pPr>
    <w:rPr>
      <w:szCs w:val="20"/>
      <w:lang w:val="en-GB"/>
    </w:rPr>
  </w:style>
  <w:style w:type="character" w:customStyle="1" w:styleId="ListParagraphChar">
    <w:name w:val="List Paragraph Char"/>
    <w:basedOn w:val="DefaultParagraphFont"/>
    <w:link w:val="ListParagraph"/>
    <w:uiPriority w:val="34"/>
    <w:locked/>
    <w:rsid w:val="00962C44"/>
    <w:rPr>
      <w:rFonts w:ascii="Times New Roman" w:eastAsia="Times New Roman" w:hAnsi="Times New Roman" w:cs="Times New Roman"/>
      <w:sz w:val="24"/>
      <w:szCs w:val="20"/>
      <w:lang w:val="en-GB"/>
    </w:rPr>
  </w:style>
  <w:style w:type="table" w:styleId="TableGrid">
    <w:name w:val="Table Grid"/>
    <w:basedOn w:val="TableNormal"/>
    <w:uiPriority w:val="39"/>
    <w:rsid w:val="0096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8425B"/>
  </w:style>
  <w:style w:type="paragraph" w:customStyle="1" w:styleId="ECCTablenote">
    <w:name w:val="ECC Table note"/>
    <w:basedOn w:val="Normal"/>
    <w:next w:val="Normal"/>
    <w:autoRedefine/>
    <w:qFormat/>
    <w:rsid w:val="007F0E57"/>
    <w:pPr>
      <w:ind w:left="567" w:hanging="567"/>
      <w:jc w:val="both"/>
    </w:pPr>
    <w:rPr>
      <w:rFonts w:ascii="Arial" w:hAnsi="Arial"/>
      <w:sz w:val="16"/>
      <w:szCs w:val="16"/>
      <w:lang w:val="en-GB"/>
    </w:rPr>
  </w:style>
  <w:style w:type="paragraph" w:customStyle="1" w:styleId="ECCAnnexheading2">
    <w:name w:val="ECC Annex heading2"/>
    <w:basedOn w:val="Normal"/>
    <w:next w:val="Normal"/>
    <w:rsid w:val="007F0E57"/>
    <w:pPr>
      <w:numPr>
        <w:ilvl w:val="1"/>
        <w:numId w:val="2"/>
      </w:numPr>
      <w:overflowPunct w:val="0"/>
      <w:autoSpaceDE w:val="0"/>
      <w:autoSpaceDN w:val="0"/>
      <w:adjustRightInd w:val="0"/>
      <w:spacing w:before="480" w:after="240"/>
      <w:textAlignment w:val="baseline"/>
    </w:pPr>
    <w:rPr>
      <w:rFonts w:ascii="Arial" w:hAnsi="Arial"/>
      <w:b/>
      <w:caps/>
      <w:sz w:val="20"/>
    </w:rPr>
  </w:style>
  <w:style w:type="paragraph" w:customStyle="1" w:styleId="ECCAnnexheading3">
    <w:name w:val="ECC Annex heading3"/>
    <w:basedOn w:val="Normal"/>
    <w:next w:val="Normal"/>
    <w:rsid w:val="007F0E57"/>
    <w:pPr>
      <w:numPr>
        <w:ilvl w:val="2"/>
        <w:numId w:val="2"/>
      </w:numPr>
      <w:overflowPunct w:val="0"/>
      <w:autoSpaceDE w:val="0"/>
      <w:autoSpaceDN w:val="0"/>
      <w:adjustRightInd w:val="0"/>
      <w:spacing w:before="360" w:after="120"/>
      <w:textAlignment w:val="baseline"/>
    </w:pPr>
    <w:rPr>
      <w:rFonts w:ascii="Arial" w:hAnsi="Arial"/>
      <w:b/>
      <w:sz w:val="20"/>
    </w:rPr>
  </w:style>
  <w:style w:type="paragraph" w:customStyle="1" w:styleId="ECCAnnexheading4">
    <w:name w:val="ECC Annex heading4"/>
    <w:basedOn w:val="Normal"/>
    <w:next w:val="Normal"/>
    <w:rsid w:val="007F0E57"/>
    <w:pPr>
      <w:numPr>
        <w:ilvl w:val="3"/>
        <w:numId w:val="2"/>
      </w:numPr>
      <w:overflowPunct w:val="0"/>
      <w:autoSpaceDE w:val="0"/>
      <w:autoSpaceDN w:val="0"/>
      <w:adjustRightInd w:val="0"/>
      <w:spacing w:before="360" w:after="120"/>
      <w:textAlignment w:val="baseline"/>
    </w:pPr>
    <w:rPr>
      <w:rFonts w:ascii="Arial" w:hAnsi="Arial"/>
      <w:i/>
      <w:color w:val="D2232A"/>
      <w:sz w:val="20"/>
    </w:rPr>
  </w:style>
  <w:style w:type="paragraph" w:customStyle="1" w:styleId="NumberedList">
    <w:name w:val="Numbered List"/>
    <w:basedOn w:val="Normal"/>
    <w:rsid w:val="007F0E57"/>
    <w:pPr>
      <w:numPr>
        <w:numId w:val="3"/>
      </w:numPr>
      <w:spacing w:after="240"/>
      <w:jc w:val="both"/>
    </w:pPr>
    <w:rPr>
      <w:rFonts w:ascii="Arial" w:hAnsi="Arial"/>
      <w:sz w:val="20"/>
      <w:lang w:val="en-GB"/>
    </w:rPr>
  </w:style>
  <w:style w:type="numbering" w:customStyle="1" w:styleId="ECCNumberedList">
    <w:name w:val="ECC Numbered List"/>
    <w:uiPriority w:val="99"/>
    <w:rsid w:val="007F0E57"/>
    <w:pPr>
      <w:numPr>
        <w:numId w:val="3"/>
      </w:numPr>
    </w:pPr>
  </w:style>
  <w:style w:type="paragraph" w:customStyle="1" w:styleId="ECCAnnexheading1">
    <w:name w:val="ECC Annex heading1"/>
    <w:next w:val="Normal"/>
    <w:autoRedefine/>
    <w:qFormat/>
    <w:rsid w:val="007F0E57"/>
    <w:pPr>
      <w:keepNext/>
      <w:pageBreakBefore/>
      <w:numPr>
        <w:numId w:val="2"/>
      </w:numPr>
      <w:spacing w:before="480" w:after="240" w:line="240" w:lineRule="auto"/>
      <w:jc w:val="both"/>
      <w:outlineLvl w:val="0"/>
    </w:pPr>
    <w:rPr>
      <w:rFonts w:ascii="Arial" w:eastAsia="Times New Roman" w:hAnsi="Arial" w:cs="Times New Roman"/>
      <w:b/>
      <w:caps/>
      <w:color w:val="D2232A"/>
      <w:sz w:val="20"/>
      <w:szCs w:val="20"/>
      <w:lang w:val="da-DK"/>
    </w:rPr>
  </w:style>
  <w:style w:type="paragraph" w:styleId="Caption">
    <w:name w:val="caption"/>
    <w:aliases w:val="ECC Figure Caption,ECC Caption,Ca,Figure Lable"/>
    <w:next w:val="Normal"/>
    <w:link w:val="CaptionChar"/>
    <w:qFormat/>
    <w:rsid w:val="007F0E57"/>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sz w:val="20"/>
      <w:szCs w:val="20"/>
      <w:lang w:val="da-DK"/>
    </w:rPr>
  </w:style>
  <w:style w:type="paragraph" w:customStyle="1" w:styleId="ECCTableHeaderwhitefont">
    <w:name w:val="ECC Table Header white font"/>
    <w:qFormat/>
    <w:rsid w:val="007F0E57"/>
    <w:pPr>
      <w:keepNext/>
      <w:spacing w:before="240" w:after="60" w:line="240" w:lineRule="auto"/>
      <w:jc w:val="center"/>
    </w:pPr>
    <w:rPr>
      <w:rFonts w:ascii="Arial" w:eastAsia="Calibri" w:hAnsi="Arial" w:cs="Times New Roman"/>
      <w:bCs/>
      <w:color w:val="FFFFFF" w:themeColor="background1"/>
      <w:sz w:val="20"/>
      <w:szCs w:val="20"/>
      <w:lang w:val="en-GB" w:eastAsia="de-DE"/>
    </w:rPr>
  </w:style>
  <w:style w:type="paragraph" w:customStyle="1" w:styleId="ECCTabletext">
    <w:name w:val="ECC Table text"/>
    <w:basedOn w:val="Normal"/>
    <w:qFormat/>
    <w:rsid w:val="007F0E57"/>
    <w:pPr>
      <w:keepNext/>
      <w:spacing w:after="60"/>
    </w:pPr>
    <w:rPr>
      <w:rFonts w:ascii="Arial" w:eastAsia="Calibri" w:hAnsi="Arial"/>
      <w:sz w:val="20"/>
      <w:szCs w:val="22"/>
      <w:lang w:val="en-GB"/>
    </w:rPr>
  </w:style>
  <w:style w:type="table" w:customStyle="1" w:styleId="ECCTable-redheader">
    <w:name w:val="ECC Table - red header"/>
    <w:basedOn w:val="TableNormal"/>
    <w:uiPriority w:val="99"/>
    <w:qFormat/>
    <w:rsid w:val="007F0E5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Ca Char,Figure Lable Char"/>
    <w:link w:val="Caption"/>
    <w:qFormat/>
    <w:rsid w:val="007F0E57"/>
    <w:rPr>
      <w:rFonts w:ascii="Arial" w:eastAsia="Times New Roman" w:hAnsi="Arial" w:cs="Times New Roman"/>
      <w:b/>
      <w:bCs/>
      <w:color w:val="D2232A"/>
      <w:sz w:val="20"/>
      <w:szCs w:val="20"/>
      <w:lang w:val="da-DK"/>
    </w:rPr>
  </w:style>
  <w:style w:type="character" w:customStyle="1" w:styleId="ECCHLsubscript">
    <w:name w:val="ECC HL subscript"/>
    <w:uiPriority w:val="1"/>
    <w:qFormat/>
    <w:rsid w:val="007F0E57"/>
    <w:rPr>
      <w:vertAlign w:val="subscript"/>
    </w:rPr>
  </w:style>
  <w:style w:type="paragraph" w:styleId="Revision">
    <w:name w:val="Revision"/>
    <w:hidden/>
    <w:uiPriority w:val="99"/>
    <w:semiHidden/>
    <w:rsid w:val="005511D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1DE"/>
    <w:rPr>
      <w:sz w:val="16"/>
      <w:szCs w:val="16"/>
    </w:rPr>
  </w:style>
  <w:style w:type="paragraph" w:styleId="CommentText">
    <w:name w:val="annotation text"/>
    <w:basedOn w:val="Normal"/>
    <w:link w:val="CommentTextChar"/>
    <w:uiPriority w:val="99"/>
    <w:unhideWhenUsed/>
    <w:rsid w:val="005511DE"/>
    <w:rPr>
      <w:sz w:val="20"/>
      <w:szCs w:val="20"/>
    </w:rPr>
  </w:style>
  <w:style w:type="character" w:customStyle="1" w:styleId="CommentTextChar">
    <w:name w:val="Comment Text Char"/>
    <w:basedOn w:val="DefaultParagraphFont"/>
    <w:link w:val="CommentText"/>
    <w:uiPriority w:val="99"/>
    <w:rsid w:val="005511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1DE"/>
    <w:rPr>
      <w:b/>
      <w:bCs/>
    </w:rPr>
  </w:style>
  <w:style w:type="character" w:customStyle="1" w:styleId="CommentSubjectChar">
    <w:name w:val="Comment Subject Char"/>
    <w:basedOn w:val="CommentTextChar"/>
    <w:link w:val="CommentSubject"/>
    <w:uiPriority w:val="99"/>
    <w:semiHidden/>
    <w:rsid w:val="005511D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B6013"/>
    <w:rPr>
      <w:color w:val="605E5C"/>
      <w:shd w:val="clear" w:color="auto" w:fill="E1DFDD"/>
    </w:rPr>
  </w:style>
  <w:style w:type="character" w:customStyle="1" w:styleId="field-content">
    <w:name w:val="field-content"/>
    <w:basedOn w:val="DefaultParagraphFont"/>
    <w:rsid w:val="00516254"/>
  </w:style>
  <w:style w:type="paragraph" w:customStyle="1" w:styleId="Headingb">
    <w:name w:val="Heading_b"/>
    <w:basedOn w:val="Normal"/>
    <w:next w:val="Normal"/>
    <w:link w:val="HeadingbChar"/>
    <w:qFormat/>
    <w:rsid w:val="0023016B"/>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character" w:customStyle="1" w:styleId="HeadingbChar">
    <w:name w:val="Heading_b Char"/>
    <w:basedOn w:val="DefaultParagraphFont"/>
    <w:link w:val="Headingb"/>
    <w:qFormat/>
    <w:locked/>
    <w:rsid w:val="0023016B"/>
    <w:rPr>
      <w:rFonts w:ascii="Times New Roman Bold" w:eastAsia="Times New Roman" w:hAnsi="Times New Roman Bold" w:cs="Times New Roman Bold"/>
      <w:b/>
      <w:sz w:val="24"/>
      <w:szCs w:val="20"/>
      <w:lang w:val="fr-CH"/>
    </w:rPr>
  </w:style>
  <w:style w:type="character" w:customStyle="1" w:styleId="NormalaftertitleChar">
    <w:name w:val="Normal_after_title Char"/>
    <w:basedOn w:val="DefaultParagraphFont"/>
    <w:link w:val="Normalaftertitle"/>
    <w:locked/>
    <w:rsid w:val="0023016B"/>
    <w:rPr>
      <w:rFonts w:ascii="Times New Roman" w:eastAsia="Times New Roman" w:hAnsi="Times New Roman" w:cs="Times New Roman"/>
      <w:sz w:val="24"/>
      <w:szCs w:val="20"/>
      <w:lang w:val="en-GB"/>
    </w:rPr>
  </w:style>
  <w:style w:type="character" w:customStyle="1" w:styleId="SourceChar">
    <w:name w:val="Source Char"/>
    <w:basedOn w:val="DefaultParagraphFont"/>
    <w:link w:val="Source"/>
    <w:locked/>
    <w:rsid w:val="0023016B"/>
    <w:rPr>
      <w:rFonts w:ascii="Times New Roman" w:eastAsia="Times New Roman" w:hAnsi="Times New Roman" w:cs="Times New Roman"/>
      <w:b/>
      <w:sz w:val="28"/>
      <w:szCs w:val="20"/>
      <w:lang w:val="en-GB"/>
    </w:rPr>
  </w:style>
  <w:style w:type="character" w:customStyle="1" w:styleId="Title1Char">
    <w:name w:val="Title 1 Char"/>
    <w:link w:val="Title1"/>
    <w:locked/>
    <w:rsid w:val="0023016B"/>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530">
      <w:bodyDiv w:val="1"/>
      <w:marLeft w:val="0"/>
      <w:marRight w:val="0"/>
      <w:marTop w:val="0"/>
      <w:marBottom w:val="0"/>
      <w:divBdr>
        <w:top w:val="none" w:sz="0" w:space="0" w:color="auto"/>
        <w:left w:val="none" w:sz="0" w:space="0" w:color="auto"/>
        <w:bottom w:val="none" w:sz="0" w:space="0" w:color="auto"/>
        <w:right w:val="none" w:sz="0" w:space="0" w:color="auto"/>
      </w:divBdr>
      <w:divsChild>
        <w:div w:id="1616711054">
          <w:marLeft w:val="0"/>
          <w:marRight w:val="0"/>
          <w:marTop w:val="0"/>
          <w:marBottom w:val="0"/>
          <w:divBdr>
            <w:top w:val="none" w:sz="0" w:space="0" w:color="auto"/>
            <w:left w:val="none" w:sz="0" w:space="0" w:color="auto"/>
            <w:bottom w:val="none" w:sz="0" w:space="0" w:color="auto"/>
            <w:right w:val="none" w:sz="0" w:space="0" w:color="auto"/>
          </w:divBdr>
          <w:divsChild>
            <w:div w:id="472723048">
              <w:marLeft w:val="0"/>
              <w:marRight w:val="0"/>
              <w:marTop w:val="0"/>
              <w:marBottom w:val="0"/>
              <w:divBdr>
                <w:top w:val="none" w:sz="0" w:space="0" w:color="auto"/>
                <w:left w:val="none" w:sz="0" w:space="0" w:color="auto"/>
                <w:bottom w:val="none" w:sz="0" w:space="0" w:color="auto"/>
                <w:right w:val="none" w:sz="0" w:space="0" w:color="auto"/>
              </w:divBdr>
              <w:divsChild>
                <w:div w:id="8423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1557">
      <w:bodyDiv w:val="1"/>
      <w:marLeft w:val="0"/>
      <w:marRight w:val="0"/>
      <w:marTop w:val="0"/>
      <w:marBottom w:val="0"/>
      <w:divBdr>
        <w:top w:val="none" w:sz="0" w:space="0" w:color="auto"/>
        <w:left w:val="none" w:sz="0" w:space="0" w:color="auto"/>
        <w:bottom w:val="none" w:sz="0" w:space="0" w:color="auto"/>
        <w:right w:val="none" w:sz="0" w:space="0" w:color="auto"/>
      </w:divBdr>
      <w:divsChild>
        <w:div w:id="1084499818">
          <w:marLeft w:val="0"/>
          <w:marRight w:val="0"/>
          <w:marTop w:val="0"/>
          <w:marBottom w:val="0"/>
          <w:divBdr>
            <w:top w:val="none" w:sz="0" w:space="0" w:color="auto"/>
            <w:left w:val="none" w:sz="0" w:space="0" w:color="auto"/>
            <w:bottom w:val="none" w:sz="0" w:space="0" w:color="auto"/>
            <w:right w:val="none" w:sz="0" w:space="0" w:color="auto"/>
          </w:divBdr>
          <w:divsChild>
            <w:div w:id="629632873">
              <w:marLeft w:val="0"/>
              <w:marRight w:val="0"/>
              <w:marTop w:val="0"/>
              <w:marBottom w:val="0"/>
              <w:divBdr>
                <w:top w:val="none" w:sz="0" w:space="0" w:color="auto"/>
                <w:left w:val="none" w:sz="0" w:space="0" w:color="auto"/>
                <w:bottom w:val="none" w:sz="0" w:space="0" w:color="auto"/>
                <w:right w:val="none" w:sz="0" w:space="0" w:color="auto"/>
              </w:divBdr>
              <w:divsChild>
                <w:div w:id="19305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7082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sChild>
        <w:div w:id="129790226">
          <w:marLeft w:val="0"/>
          <w:marRight w:val="0"/>
          <w:marTop w:val="0"/>
          <w:marBottom w:val="0"/>
          <w:divBdr>
            <w:top w:val="none" w:sz="0" w:space="0" w:color="auto"/>
            <w:left w:val="none" w:sz="0" w:space="0" w:color="auto"/>
            <w:bottom w:val="none" w:sz="0" w:space="0" w:color="auto"/>
            <w:right w:val="none" w:sz="0" w:space="0" w:color="auto"/>
          </w:divBdr>
          <w:divsChild>
            <w:div w:id="1968268769">
              <w:marLeft w:val="0"/>
              <w:marRight w:val="0"/>
              <w:marTop w:val="0"/>
              <w:marBottom w:val="0"/>
              <w:divBdr>
                <w:top w:val="none" w:sz="0" w:space="0" w:color="auto"/>
                <w:left w:val="none" w:sz="0" w:space="0" w:color="auto"/>
                <w:bottom w:val="none" w:sz="0" w:space="0" w:color="auto"/>
                <w:right w:val="none" w:sz="0" w:space="0" w:color="auto"/>
              </w:divBdr>
              <w:divsChild>
                <w:div w:id="15292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download/428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Marcus, Michael</cp:lastModifiedBy>
  <cp:revision>4</cp:revision>
  <dcterms:created xsi:type="dcterms:W3CDTF">2023-03-08T19:06:00Z</dcterms:created>
  <dcterms:modified xsi:type="dcterms:W3CDTF">2023-03-08T21:03:00Z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