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2DA410A"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A63AFD9"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2D5DCEFB"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24DD6345" w14:textId="77777777" w:rsidTr="00B54F31">
        <w:trPr>
          <w:trHeight w:val="951"/>
        </w:trPr>
        <w:tc>
          <w:tcPr>
            <w:tcW w:w="3984" w:type="dxa"/>
            <w:tcBorders>
              <w:left w:val="double" w:sz="6" w:space="0" w:color="auto"/>
            </w:tcBorders>
          </w:tcPr>
          <w:p w14:paraId="09FDC58C" w14:textId="43DC0117" w:rsidR="00790A03" w:rsidRPr="00A02BF0" w:rsidRDefault="00790A03" w:rsidP="00654F3B">
            <w:pPr>
              <w:spacing w:after="120"/>
              <w:ind w:left="900" w:right="144" w:hanging="756"/>
            </w:pPr>
            <w:r w:rsidRPr="00A02BF0">
              <w:rPr>
                <w:b/>
              </w:rPr>
              <w:t>Working Party:</w:t>
            </w:r>
            <w:r w:rsidRPr="00A02BF0">
              <w:t xml:space="preserve">  ITU-R WP</w:t>
            </w:r>
            <w:r w:rsidR="000B2701">
              <w:t>5B</w:t>
            </w:r>
          </w:p>
        </w:tc>
        <w:tc>
          <w:tcPr>
            <w:tcW w:w="5409" w:type="dxa"/>
            <w:tcBorders>
              <w:right w:val="double" w:sz="6" w:space="0" w:color="auto"/>
            </w:tcBorders>
          </w:tcPr>
          <w:p w14:paraId="67904614" w14:textId="7B75C504" w:rsidR="00790A03" w:rsidRPr="00A02BF0" w:rsidRDefault="00790A03" w:rsidP="00654F3B">
            <w:pPr>
              <w:spacing w:after="120"/>
              <w:ind w:left="144" w:right="144"/>
            </w:pPr>
            <w:r w:rsidRPr="00A02BF0">
              <w:rPr>
                <w:b/>
              </w:rPr>
              <w:t>Document No:</w:t>
            </w:r>
            <w:r w:rsidRPr="00A02BF0">
              <w:t xml:space="preserve">  USWP</w:t>
            </w:r>
            <w:r w:rsidR="000B2701">
              <w:t>5B</w:t>
            </w:r>
            <w:r w:rsidR="004A0B89">
              <w:t>25-</w:t>
            </w:r>
            <w:r w:rsidR="00BE31E4">
              <w:t>FD-</w:t>
            </w:r>
            <w:bookmarkStart w:id="0" w:name="_GoBack"/>
            <w:bookmarkEnd w:id="0"/>
            <w:r w:rsidR="004A0B89">
              <w:t>12</w:t>
            </w:r>
          </w:p>
        </w:tc>
      </w:tr>
      <w:tr w:rsidR="00790A03" w:rsidRPr="00A02BF0" w14:paraId="2B9F91A3" w14:textId="77777777" w:rsidTr="00B54F31">
        <w:trPr>
          <w:trHeight w:val="378"/>
        </w:trPr>
        <w:tc>
          <w:tcPr>
            <w:tcW w:w="3984" w:type="dxa"/>
            <w:tcBorders>
              <w:left w:val="double" w:sz="6" w:space="0" w:color="auto"/>
            </w:tcBorders>
          </w:tcPr>
          <w:p w14:paraId="5C361BD7" w14:textId="39F8AA66" w:rsidR="00790A03" w:rsidRPr="00A02BF0" w:rsidRDefault="00790A03" w:rsidP="00790A03">
            <w:pPr>
              <w:ind w:left="144" w:right="144"/>
            </w:pPr>
            <w:r w:rsidRPr="00A02BF0">
              <w:rPr>
                <w:b/>
              </w:rPr>
              <w:t>Ref:</w:t>
            </w:r>
            <w:r>
              <w:rPr>
                <w:b/>
              </w:rPr>
              <w:t xml:space="preserve">  </w:t>
            </w:r>
            <w:r w:rsidR="000B2701">
              <w:t>Rec. ITU-R M.489-2</w:t>
            </w:r>
            <w:r>
              <w:rPr>
                <w:b/>
              </w:rPr>
              <w:br/>
            </w:r>
            <w:r w:rsidRPr="00B96F28">
              <w:t xml:space="preserve"> </w:t>
            </w:r>
          </w:p>
        </w:tc>
        <w:tc>
          <w:tcPr>
            <w:tcW w:w="5409" w:type="dxa"/>
            <w:tcBorders>
              <w:right w:val="double" w:sz="6" w:space="0" w:color="auto"/>
            </w:tcBorders>
          </w:tcPr>
          <w:p w14:paraId="22D6F5C7" w14:textId="5D6D651C" w:rsidR="00790A03" w:rsidRPr="00A02BF0" w:rsidRDefault="00790A03" w:rsidP="00654F3B">
            <w:pPr>
              <w:tabs>
                <w:tab w:val="left" w:pos="162"/>
              </w:tabs>
              <w:ind w:left="612" w:right="144" w:hanging="468"/>
            </w:pPr>
            <w:r w:rsidRPr="00A02BF0">
              <w:rPr>
                <w:b/>
              </w:rPr>
              <w:t>Date:</w:t>
            </w:r>
            <w:r w:rsidRPr="00A02BF0">
              <w:t xml:space="preserve">  </w:t>
            </w:r>
            <w:r w:rsidR="000B2701" w:rsidRPr="000B2701">
              <w:t>1</w:t>
            </w:r>
            <w:r w:rsidR="00AE5635">
              <w:t>8</w:t>
            </w:r>
            <w:r w:rsidR="000B2701" w:rsidRPr="000B2701">
              <w:t xml:space="preserve"> September 2020</w:t>
            </w:r>
          </w:p>
        </w:tc>
      </w:tr>
      <w:tr w:rsidR="00790A03" w:rsidRPr="00A02BF0" w14:paraId="002D32DA" w14:textId="77777777" w:rsidTr="00B54F31">
        <w:trPr>
          <w:trHeight w:val="459"/>
        </w:trPr>
        <w:tc>
          <w:tcPr>
            <w:tcW w:w="9393" w:type="dxa"/>
            <w:gridSpan w:val="2"/>
            <w:tcBorders>
              <w:left w:val="double" w:sz="6" w:space="0" w:color="auto"/>
              <w:right w:val="double" w:sz="6" w:space="0" w:color="auto"/>
            </w:tcBorders>
          </w:tcPr>
          <w:p w14:paraId="23A2D27D" w14:textId="2E66D4B0"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0B2701">
              <w:rPr>
                <w:b w:val="0"/>
                <w:lang w:eastAsia="zh-CN"/>
              </w:rPr>
              <w:t>Proposed corrigendum to Recommendation ITU-R M.489-2</w:t>
            </w:r>
          </w:p>
          <w:p w14:paraId="3871C8B2" w14:textId="77777777" w:rsidR="00790A03" w:rsidRPr="00790A03" w:rsidRDefault="00790A03" w:rsidP="00790A03">
            <w:pPr>
              <w:rPr>
                <w:lang w:val="en-GB" w:eastAsia="zh-CN"/>
              </w:rPr>
            </w:pPr>
          </w:p>
        </w:tc>
      </w:tr>
      <w:tr w:rsidR="00790A03" w:rsidRPr="00A02BF0" w14:paraId="587E1C43" w14:textId="77777777" w:rsidTr="00B54F31">
        <w:trPr>
          <w:trHeight w:val="1960"/>
        </w:trPr>
        <w:tc>
          <w:tcPr>
            <w:tcW w:w="3984" w:type="dxa"/>
            <w:tcBorders>
              <w:left w:val="double" w:sz="6" w:space="0" w:color="auto"/>
            </w:tcBorders>
          </w:tcPr>
          <w:p w14:paraId="61049508" w14:textId="38F1E8AD" w:rsidR="00790A03" w:rsidRPr="00A02BF0" w:rsidRDefault="00790A03" w:rsidP="00B54F31">
            <w:pPr>
              <w:ind w:left="144" w:right="144"/>
              <w:rPr>
                <w:b/>
              </w:rPr>
            </w:pPr>
            <w:r w:rsidRPr="00A02BF0">
              <w:rPr>
                <w:b/>
              </w:rPr>
              <w:t>Author(s)/Contributors(s):</w:t>
            </w:r>
            <w:r w:rsidR="00CE183F">
              <w:rPr>
                <w:b/>
              </w:rPr>
              <w:br/>
            </w:r>
          </w:p>
          <w:p w14:paraId="07D64AD3" w14:textId="0C0F7480" w:rsidR="00790A03" w:rsidRDefault="000B2701" w:rsidP="00B54F31">
            <w:pPr>
              <w:ind w:left="144" w:right="144"/>
              <w:rPr>
                <w:bCs/>
                <w:iCs/>
              </w:rPr>
            </w:pPr>
            <w:r>
              <w:rPr>
                <w:bCs/>
                <w:iCs/>
              </w:rPr>
              <w:t>Joe Hersey</w:t>
            </w:r>
          </w:p>
          <w:p w14:paraId="43012644" w14:textId="414E1B58" w:rsidR="00790A03" w:rsidRDefault="000B2701" w:rsidP="00B54F31">
            <w:pPr>
              <w:ind w:left="144" w:right="144"/>
              <w:rPr>
                <w:bCs/>
                <w:iCs/>
              </w:rPr>
            </w:pPr>
            <w:r>
              <w:rPr>
                <w:bCs/>
                <w:iCs/>
              </w:rPr>
              <w:t>JOECEL Engineering</w:t>
            </w:r>
          </w:p>
          <w:p w14:paraId="1E25DF96" w14:textId="77777777" w:rsidR="00790A03" w:rsidRDefault="00790A03" w:rsidP="00B54F31">
            <w:pPr>
              <w:ind w:left="144" w:right="144"/>
              <w:rPr>
                <w:bCs/>
                <w:iCs/>
              </w:rPr>
            </w:pPr>
          </w:p>
          <w:p w14:paraId="2DFF5203" w14:textId="4D7F4230" w:rsidR="00790A03" w:rsidRDefault="000B2701" w:rsidP="00B54F31">
            <w:pPr>
              <w:ind w:left="144" w:right="144"/>
              <w:rPr>
                <w:bCs/>
                <w:iCs/>
              </w:rPr>
            </w:pPr>
            <w:r>
              <w:rPr>
                <w:bCs/>
                <w:iCs/>
              </w:rPr>
              <w:t>Ross Norsworthy</w:t>
            </w:r>
          </w:p>
          <w:p w14:paraId="36FA12BC" w14:textId="1675F816" w:rsidR="00790A03" w:rsidRDefault="000B2701" w:rsidP="00B54F31">
            <w:pPr>
              <w:ind w:left="144" w:right="144"/>
              <w:rPr>
                <w:bCs/>
                <w:iCs/>
              </w:rPr>
            </w:pPr>
            <w:r>
              <w:rPr>
                <w:bCs/>
                <w:iCs/>
              </w:rPr>
              <w:t>REC Inc</w:t>
            </w:r>
          </w:p>
          <w:p w14:paraId="32AD8160" w14:textId="77777777" w:rsidR="00790A03" w:rsidRDefault="00790A03" w:rsidP="00B54F31">
            <w:pPr>
              <w:ind w:left="144" w:right="144"/>
              <w:rPr>
                <w:bCs/>
                <w:iCs/>
              </w:rPr>
            </w:pPr>
          </w:p>
          <w:p w14:paraId="454919DD" w14:textId="4496C7DC" w:rsidR="00790A03" w:rsidRDefault="000B2701" w:rsidP="00B54F31">
            <w:pPr>
              <w:ind w:left="144" w:right="144"/>
              <w:rPr>
                <w:bCs/>
                <w:iCs/>
              </w:rPr>
            </w:pPr>
            <w:r>
              <w:rPr>
                <w:bCs/>
                <w:iCs/>
              </w:rPr>
              <w:t>Jerry Ulcek</w:t>
            </w:r>
          </w:p>
          <w:p w14:paraId="207212E5" w14:textId="085C4454" w:rsidR="00790A03" w:rsidRPr="00A02BF0" w:rsidRDefault="000B2701" w:rsidP="00B54F31">
            <w:pPr>
              <w:ind w:left="144" w:right="144"/>
              <w:rPr>
                <w:bCs/>
                <w:iCs/>
              </w:rPr>
            </w:pPr>
            <w:r>
              <w:rPr>
                <w:bCs/>
                <w:iCs/>
              </w:rPr>
              <w:t>US Coast Guard</w:t>
            </w:r>
            <w:r w:rsidR="00790A03" w:rsidRPr="00A02BF0">
              <w:rPr>
                <w:bCs/>
                <w:iCs/>
              </w:rPr>
              <w:br/>
            </w:r>
          </w:p>
        </w:tc>
        <w:tc>
          <w:tcPr>
            <w:tcW w:w="5409" w:type="dxa"/>
            <w:tcBorders>
              <w:right w:val="double" w:sz="6" w:space="0" w:color="auto"/>
            </w:tcBorders>
          </w:tcPr>
          <w:p w14:paraId="534BAC57" w14:textId="77777777" w:rsidR="00790A03" w:rsidRDefault="00790A03" w:rsidP="00B54F31">
            <w:pPr>
              <w:ind w:right="144"/>
              <w:rPr>
                <w:b/>
                <w:bCs/>
              </w:rPr>
            </w:pPr>
          </w:p>
          <w:p w14:paraId="191F5495" w14:textId="3377FBA8" w:rsidR="00790A03" w:rsidRDefault="00CE183F" w:rsidP="00B54F31">
            <w:pPr>
              <w:ind w:right="144"/>
              <w:rPr>
                <w:bCs/>
              </w:rPr>
            </w:pPr>
            <w:r>
              <w:rPr>
                <w:b/>
                <w:bCs/>
              </w:rPr>
              <w:br/>
            </w:r>
            <w:r w:rsidR="00790A03" w:rsidRPr="00A02BF0">
              <w:rPr>
                <w:b/>
                <w:bCs/>
              </w:rPr>
              <w:t>Email</w:t>
            </w:r>
            <w:r w:rsidR="00790A03">
              <w:rPr>
                <w:bCs/>
              </w:rPr>
              <w:t xml:space="preserve">:  </w:t>
            </w:r>
            <w:r w:rsidR="000B2701">
              <w:rPr>
                <w:bCs/>
              </w:rPr>
              <w:t>joe@joecel.com</w:t>
            </w:r>
            <w:r w:rsidR="00790A03" w:rsidRPr="00A02BF0">
              <w:rPr>
                <w:bCs/>
              </w:rPr>
              <w:br/>
            </w:r>
            <w:r w:rsidR="00790A03" w:rsidRPr="00A02BF0">
              <w:rPr>
                <w:b/>
                <w:bCs/>
              </w:rPr>
              <w:t>Phone</w:t>
            </w:r>
            <w:r w:rsidR="00790A03" w:rsidRPr="00A02BF0">
              <w:rPr>
                <w:bCs/>
              </w:rPr>
              <w:t>:</w:t>
            </w:r>
            <w:r w:rsidR="00790A03">
              <w:rPr>
                <w:bCs/>
              </w:rPr>
              <w:t xml:space="preserve">  </w:t>
            </w:r>
            <w:r w:rsidR="000B2701">
              <w:rPr>
                <w:bCs/>
              </w:rPr>
              <w:t>(301) 512-9860</w:t>
            </w:r>
            <w:r w:rsidR="00790A03" w:rsidRPr="00A02BF0">
              <w:rPr>
                <w:bCs/>
              </w:rPr>
              <w:br/>
            </w:r>
          </w:p>
          <w:p w14:paraId="61FC9CD6" w14:textId="189D7540" w:rsidR="00790A03" w:rsidRDefault="00790A03" w:rsidP="00790A03">
            <w:pPr>
              <w:ind w:right="144"/>
              <w:rPr>
                <w:bCs/>
              </w:rPr>
            </w:pPr>
            <w:r>
              <w:rPr>
                <w:b/>
                <w:bCs/>
              </w:rPr>
              <w:t>Email</w:t>
            </w:r>
            <w:r>
              <w:rPr>
                <w:bCs/>
              </w:rPr>
              <w:t>:</w:t>
            </w:r>
            <w:r w:rsidR="000B2701">
              <w:rPr>
                <w:bCs/>
              </w:rPr>
              <w:t xml:space="preserve">  ross_norsworthy@msn.com</w:t>
            </w:r>
            <w:r>
              <w:rPr>
                <w:bCs/>
              </w:rPr>
              <w:br/>
            </w:r>
            <w:r>
              <w:rPr>
                <w:b/>
                <w:bCs/>
              </w:rPr>
              <w:t>Phone</w:t>
            </w:r>
            <w:r>
              <w:rPr>
                <w:bCs/>
              </w:rPr>
              <w:t xml:space="preserve">:  </w:t>
            </w:r>
            <w:r w:rsidR="000B2701">
              <w:rPr>
                <w:bCs/>
              </w:rPr>
              <w:t>(757) 515-8025</w:t>
            </w:r>
          </w:p>
          <w:p w14:paraId="3319AD3D" w14:textId="77777777" w:rsidR="00790A03" w:rsidRDefault="00790A03" w:rsidP="00790A03">
            <w:pPr>
              <w:ind w:right="144"/>
              <w:rPr>
                <w:bCs/>
              </w:rPr>
            </w:pPr>
          </w:p>
          <w:p w14:paraId="7B17BB6C" w14:textId="7516279F" w:rsidR="00790A03" w:rsidRPr="00F022CE" w:rsidRDefault="000B2701" w:rsidP="00790A03">
            <w:pPr>
              <w:ind w:right="144"/>
              <w:rPr>
                <w:bCs/>
              </w:rPr>
            </w:pPr>
            <w:r>
              <w:rPr>
                <w:b/>
                <w:bCs/>
              </w:rPr>
              <w:t>Email</w:t>
            </w:r>
            <w:r>
              <w:rPr>
                <w:bCs/>
              </w:rPr>
              <w:t>:  jerry.l.ulcek@uscg.mil</w:t>
            </w:r>
            <w:r>
              <w:rPr>
                <w:bCs/>
              </w:rPr>
              <w:br/>
            </w:r>
            <w:r>
              <w:rPr>
                <w:b/>
                <w:bCs/>
              </w:rPr>
              <w:t>Phone</w:t>
            </w:r>
            <w:r>
              <w:rPr>
                <w:bCs/>
              </w:rPr>
              <w:t>:  (202) 475-3551</w:t>
            </w:r>
          </w:p>
        </w:tc>
      </w:tr>
      <w:tr w:rsidR="00790A03" w:rsidRPr="00A02BF0" w14:paraId="54EEE3B9" w14:textId="77777777" w:rsidTr="00B54F31">
        <w:trPr>
          <w:trHeight w:val="541"/>
        </w:trPr>
        <w:tc>
          <w:tcPr>
            <w:tcW w:w="9393" w:type="dxa"/>
            <w:gridSpan w:val="2"/>
            <w:tcBorders>
              <w:left w:val="double" w:sz="6" w:space="0" w:color="auto"/>
              <w:right w:val="double" w:sz="6" w:space="0" w:color="auto"/>
            </w:tcBorders>
          </w:tcPr>
          <w:p w14:paraId="790F2442" w14:textId="35F33BB4" w:rsidR="00790A03" w:rsidRPr="00A02BF0" w:rsidRDefault="00790A03" w:rsidP="00790A03">
            <w:pPr>
              <w:spacing w:after="120"/>
              <w:ind w:right="144"/>
            </w:pPr>
            <w:r w:rsidRPr="00A02BF0">
              <w:rPr>
                <w:b/>
              </w:rPr>
              <w:t>Purpose/Objective:</w:t>
            </w:r>
            <w:r w:rsidRPr="00A02BF0">
              <w:rPr>
                <w:bCs/>
              </w:rPr>
              <w:t xml:space="preserve"> </w:t>
            </w:r>
            <w:r w:rsidR="000B2701">
              <w:rPr>
                <w:bCs/>
              </w:rPr>
              <w:t>C</w:t>
            </w:r>
            <w:r w:rsidR="002F7B0F">
              <w:rPr>
                <w:bCs/>
              </w:rPr>
              <w:t>larify and c</w:t>
            </w:r>
            <w:r w:rsidR="000B2701">
              <w:rPr>
                <w:bCs/>
              </w:rPr>
              <w:t xml:space="preserve">orrect what has become </w:t>
            </w:r>
            <w:r w:rsidR="002F7B0F">
              <w:rPr>
                <w:bCs/>
              </w:rPr>
              <w:t xml:space="preserve">by some </w:t>
            </w:r>
            <w:r w:rsidR="000B2701">
              <w:rPr>
                <w:bCs/>
              </w:rPr>
              <w:t>a misunderstanding in the difference between signal and noise plus distortion ratio (SINAD) and signal-to-noise ratio in the measurement of receiver performance.</w:t>
            </w:r>
          </w:p>
        </w:tc>
      </w:tr>
      <w:tr w:rsidR="00790A03" w:rsidRPr="00A02BF0" w14:paraId="69F03294"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1DDE22FA" w14:textId="66456714" w:rsidR="002F7B0F" w:rsidRPr="002F7B0F" w:rsidRDefault="00790A03" w:rsidP="002F7B0F">
            <w:pPr>
              <w:tabs>
                <w:tab w:val="left" w:pos="794"/>
                <w:tab w:val="left" w:pos="1191"/>
                <w:tab w:val="left" w:pos="1588"/>
                <w:tab w:val="left" w:pos="1985"/>
              </w:tabs>
              <w:suppressAutoHyphens/>
              <w:rPr>
                <w:bCs/>
                <w:i/>
              </w:rPr>
            </w:pPr>
            <w:r w:rsidRPr="00A02BF0">
              <w:rPr>
                <w:b/>
              </w:rPr>
              <w:t>Abstract:</w:t>
            </w:r>
            <w:r w:rsidRPr="00A02BF0">
              <w:rPr>
                <w:bCs/>
              </w:rPr>
              <w:t xml:space="preserve">  </w:t>
            </w:r>
            <w:r w:rsidR="002F7B0F">
              <w:rPr>
                <w:bCs/>
              </w:rPr>
              <w:t xml:space="preserve">Rec. ITU-R M.489-2 </w:t>
            </w:r>
            <w:r w:rsidR="002F7B0F" w:rsidRPr="002F7B0F">
              <w:rPr>
                <w:rFonts w:ascii="Courier New" w:hAnsi="Courier New" w:cs="Courier New"/>
                <w:bCs/>
              </w:rPr>
              <w:t>﻿</w:t>
            </w:r>
            <w:r w:rsidR="002F7B0F" w:rsidRPr="002F7B0F">
              <w:rPr>
                <w:bCs/>
                <w:i/>
              </w:rPr>
              <w:t>Technical characteristics of VHF radiotelephone</w:t>
            </w:r>
          </w:p>
          <w:p w14:paraId="6BA311D6" w14:textId="5B5A7972" w:rsidR="00790A03" w:rsidRPr="002F7B0F" w:rsidRDefault="002F7B0F" w:rsidP="002F7B0F">
            <w:pPr>
              <w:tabs>
                <w:tab w:val="left" w:pos="794"/>
                <w:tab w:val="left" w:pos="1191"/>
                <w:tab w:val="left" w:pos="1588"/>
                <w:tab w:val="left" w:pos="1985"/>
              </w:tabs>
              <w:suppressAutoHyphens/>
              <w:rPr>
                <w:bCs/>
              </w:rPr>
            </w:pPr>
            <w:r w:rsidRPr="002F7B0F">
              <w:rPr>
                <w:bCs/>
                <w:i/>
              </w:rPr>
              <w:t>equipment operating in the maritime mobile service in channels spaced by 25 kHz</w:t>
            </w:r>
            <w:r>
              <w:rPr>
                <w:bCs/>
              </w:rPr>
              <w:t xml:space="preserve"> requirement for receiver sensitivity “</w:t>
            </w:r>
            <w:r w:rsidRPr="002F7B0F">
              <w:rPr>
                <w:bCs/>
              </w:rPr>
              <w:t>for a given reference signal-to-noise</w:t>
            </w:r>
            <w:r>
              <w:rPr>
                <w:bCs/>
              </w:rPr>
              <w:t xml:space="preserve"> </w:t>
            </w:r>
            <w:r w:rsidRPr="002F7B0F">
              <w:rPr>
                <w:bCs/>
              </w:rPr>
              <w:t>ratio at the output of the receiver</w:t>
            </w:r>
            <w:r>
              <w:rPr>
                <w:bCs/>
              </w:rPr>
              <w:t>” has long been properly understood to mean a SINAD measurement, and is rightly interpreted that way by applicable test standards.  Yet over time some have misinterpreted that understanding and a clarification may now be warranted.</w:t>
            </w:r>
            <w:r w:rsidR="00CE183F">
              <w:rPr>
                <w:bCs/>
              </w:rPr>
              <w:t xml:space="preserve">  The clarification might be simply accomplished editorially or by corrigendum.</w:t>
            </w:r>
          </w:p>
        </w:tc>
      </w:tr>
    </w:tbl>
    <w:p w14:paraId="3ED15113" w14:textId="635C8884" w:rsidR="0032624D" w:rsidRDefault="0032624D"/>
    <w:p w14:paraId="41A5A24B" w14:textId="4318B8AF" w:rsidR="0032624D" w:rsidRDefault="0032624D" w:rsidP="0032624D">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2624D" w:rsidRPr="00916D04" w14:paraId="6E914738" w14:textId="77777777" w:rsidTr="005A4A00">
        <w:trPr>
          <w:cantSplit/>
        </w:trPr>
        <w:tc>
          <w:tcPr>
            <w:tcW w:w="6487" w:type="dxa"/>
            <w:vAlign w:val="center"/>
          </w:tcPr>
          <w:p w14:paraId="0A4FE613" w14:textId="77777777" w:rsidR="0032624D" w:rsidRPr="00916D04" w:rsidRDefault="0032624D" w:rsidP="005A4A00">
            <w:pPr>
              <w:shd w:val="solid" w:color="FFFFFF" w:fill="FFFFFF"/>
              <w:tabs>
                <w:tab w:val="left" w:pos="794"/>
                <w:tab w:val="left" w:pos="1191"/>
                <w:tab w:val="left" w:pos="1588"/>
                <w:tab w:val="left" w:pos="1985"/>
              </w:tabs>
              <w:overflowPunct w:val="0"/>
              <w:autoSpaceDE w:val="0"/>
              <w:autoSpaceDN w:val="0"/>
              <w:adjustRightInd w:val="0"/>
              <w:textAlignment w:val="baseline"/>
              <w:rPr>
                <w:rFonts w:ascii="Verdana" w:hAnsi="Verdana" w:cs="Times New Roman Bold"/>
                <w:b/>
                <w:bCs/>
                <w:sz w:val="26"/>
                <w:szCs w:val="26"/>
              </w:rPr>
            </w:pPr>
            <w:r w:rsidRPr="00916D04">
              <w:rPr>
                <w:rFonts w:ascii="Verdana" w:hAnsi="Verdana" w:cs="Times New Roman Bold"/>
                <w:b/>
                <w:bCs/>
                <w:sz w:val="26"/>
                <w:szCs w:val="26"/>
              </w:rPr>
              <w:lastRenderedPageBreak/>
              <w:t>Radiocommunication Study Groups</w:t>
            </w:r>
          </w:p>
        </w:tc>
        <w:tc>
          <w:tcPr>
            <w:tcW w:w="3402" w:type="dxa"/>
          </w:tcPr>
          <w:p w14:paraId="363A1DAD" w14:textId="77777777" w:rsidR="0032624D" w:rsidRPr="00916D04" w:rsidRDefault="0032624D" w:rsidP="005A4A00">
            <w:pPr>
              <w:shd w:val="solid" w:color="FFFFFF" w:fill="FFFFFF"/>
              <w:tabs>
                <w:tab w:val="left" w:pos="794"/>
                <w:tab w:val="left" w:pos="1191"/>
                <w:tab w:val="left" w:pos="1588"/>
                <w:tab w:val="left" w:pos="1985"/>
              </w:tabs>
              <w:overflowPunct w:val="0"/>
              <w:autoSpaceDE w:val="0"/>
              <w:autoSpaceDN w:val="0"/>
              <w:adjustRightInd w:val="0"/>
              <w:spacing w:line="240" w:lineRule="atLeast"/>
              <w:textAlignment w:val="baseline"/>
              <w:rPr>
                <w:szCs w:val="20"/>
              </w:rPr>
            </w:pPr>
            <w:bookmarkStart w:id="1" w:name="ditulogo"/>
            <w:bookmarkEnd w:id="1"/>
            <w:r w:rsidRPr="00916D04">
              <w:rPr>
                <w:b/>
                <w:bCs/>
                <w:noProof/>
                <w:sz w:val="20"/>
                <w:szCs w:val="20"/>
              </w:rPr>
              <w:drawing>
                <wp:inline distT="0" distB="0" distL="0" distR="0" wp14:anchorId="6C3E462B" wp14:editId="2C16DAF4">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32624D" w:rsidRPr="00916D04" w14:paraId="7EA8C2FE" w14:textId="77777777" w:rsidTr="005A4A00">
        <w:trPr>
          <w:cantSplit/>
        </w:trPr>
        <w:tc>
          <w:tcPr>
            <w:tcW w:w="6487" w:type="dxa"/>
            <w:tcBorders>
              <w:bottom w:val="single" w:sz="12" w:space="0" w:color="auto"/>
            </w:tcBorders>
          </w:tcPr>
          <w:p w14:paraId="56661339" w14:textId="77777777" w:rsidR="0032624D" w:rsidRPr="00916D04" w:rsidRDefault="0032624D" w:rsidP="005A4A00">
            <w:pPr>
              <w:shd w:val="solid" w:color="FFFFFF" w:fill="FFFFFF"/>
              <w:tabs>
                <w:tab w:val="left" w:pos="794"/>
                <w:tab w:val="left" w:pos="1191"/>
                <w:tab w:val="left" w:pos="1588"/>
                <w:tab w:val="left" w:pos="1985"/>
              </w:tabs>
              <w:overflowPunct w:val="0"/>
              <w:autoSpaceDE w:val="0"/>
              <w:autoSpaceDN w:val="0"/>
              <w:adjustRightInd w:val="0"/>
              <w:spacing w:after="48"/>
              <w:textAlignment w:val="baseline"/>
              <w:rPr>
                <w:rFonts w:ascii="Verdana" w:hAnsi="Verdana" w:cs="Times New Roman Bold"/>
                <w:sz w:val="22"/>
                <w:szCs w:val="22"/>
              </w:rPr>
            </w:pPr>
          </w:p>
        </w:tc>
        <w:tc>
          <w:tcPr>
            <w:tcW w:w="3402" w:type="dxa"/>
            <w:tcBorders>
              <w:bottom w:val="single" w:sz="12" w:space="0" w:color="auto"/>
            </w:tcBorders>
          </w:tcPr>
          <w:p w14:paraId="24FC507E" w14:textId="77777777" w:rsidR="0032624D" w:rsidRPr="00916D04" w:rsidRDefault="0032624D" w:rsidP="005A4A00">
            <w:pPr>
              <w:shd w:val="solid" w:color="FFFFFF" w:fill="FFFFFF"/>
              <w:tabs>
                <w:tab w:val="left" w:pos="794"/>
                <w:tab w:val="left" w:pos="1191"/>
                <w:tab w:val="left" w:pos="1588"/>
                <w:tab w:val="left" w:pos="1985"/>
              </w:tabs>
              <w:overflowPunct w:val="0"/>
              <w:autoSpaceDE w:val="0"/>
              <w:autoSpaceDN w:val="0"/>
              <w:adjustRightInd w:val="0"/>
              <w:spacing w:after="48" w:line="240" w:lineRule="atLeast"/>
              <w:textAlignment w:val="baseline"/>
              <w:rPr>
                <w:sz w:val="22"/>
                <w:szCs w:val="22"/>
              </w:rPr>
            </w:pPr>
          </w:p>
        </w:tc>
      </w:tr>
      <w:tr w:rsidR="0032624D" w:rsidRPr="00916D04" w14:paraId="61ADB638" w14:textId="77777777" w:rsidTr="005A4A00">
        <w:trPr>
          <w:cantSplit/>
        </w:trPr>
        <w:tc>
          <w:tcPr>
            <w:tcW w:w="6487" w:type="dxa"/>
            <w:tcBorders>
              <w:top w:val="single" w:sz="12" w:space="0" w:color="auto"/>
            </w:tcBorders>
          </w:tcPr>
          <w:p w14:paraId="2B4D8695" w14:textId="77777777" w:rsidR="0032624D" w:rsidRPr="00916D04" w:rsidRDefault="0032624D" w:rsidP="005A4A00">
            <w:pPr>
              <w:shd w:val="solid" w:color="FFFFFF" w:fill="FFFFFF"/>
              <w:tabs>
                <w:tab w:val="left" w:pos="794"/>
                <w:tab w:val="left" w:pos="1191"/>
                <w:tab w:val="left" w:pos="1588"/>
                <w:tab w:val="left" w:pos="1985"/>
              </w:tabs>
              <w:overflowPunct w:val="0"/>
              <w:autoSpaceDE w:val="0"/>
              <w:autoSpaceDN w:val="0"/>
              <w:adjustRightInd w:val="0"/>
              <w:spacing w:after="48"/>
              <w:textAlignment w:val="baseline"/>
              <w:rPr>
                <w:rFonts w:ascii="Verdana" w:hAnsi="Verdana" w:cs="Times New Roman Bold"/>
                <w:bCs/>
                <w:sz w:val="22"/>
                <w:szCs w:val="22"/>
              </w:rPr>
            </w:pPr>
          </w:p>
        </w:tc>
        <w:tc>
          <w:tcPr>
            <w:tcW w:w="3402" w:type="dxa"/>
            <w:tcBorders>
              <w:top w:val="single" w:sz="12" w:space="0" w:color="auto"/>
            </w:tcBorders>
          </w:tcPr>
          <w:p w14:paraId="5830C2CA" w14:textId="77777777" w:rsidR="0032624D" w:rsidRPr="00916D04" w:rsidRDefault="0032624D" w:rsidP="005A4A00">
            <w:pPr>
              <w:shd w:val="solid" w:color="FFFFFF" w:fill="FFFFFF"/>
              <w:tabs>
                <w:tab w:val="left" w:pos="794"/>
                <w:tab w:val="left" w:pos="1191"/>
                <w:tab w:val="left" w:pos="1588"/>
                <w:tab w:val="left" w:pos="1985"/>
              </w:tabs>
              <w:overflowPunct w:val="0"/>
              <w:autoSpaceDE w:val="0"/>
              <w:autoSpaceDN w:val="0"/>
              <w:adjustRightInd w:val="0"/>
              <w:spacing w:after="48" w:line="240" w:lineRule="atLeast"/>
              <w:textAlignment w:val="baseline"/>
              <w:rPr>
                <w:szCs w:val="20"/>
              </w:rPr>
            </w:pPr>
          </w:p>
        </w:tc>
      </w:tr>
      <w:tr w:rsidR="0032624D" w:rsidRPr="00916D04" w14:paraId="5879E908" w14:textId="77777777" w:rsidTr="005A4A00">
        <w:trPr>
          <w:cantSplit/>
        </w:trPr>
        <w:tc>
          <w:tcPr>
            <w:tcW w:w="6487" w:type="dxa"/>
            <w:vMerge w:val="restart"/>
          </w:tcPr>
          <w:p w14:paraId="60345F54" w14:textId="41DA82A6" w:rsidR="0032624D" w:rsidRPr="00916D04" w:rsidRDefault="0032624D" w:rsidP="005A4A00">
            <w:pPr>
              <w:shd w:val="solid" w:color="FFFFFF" w:fill="FFFFFF"/>
              <w:tabs>
                <w:tab w:val="left" w:pos="794"/>
                <w:tab w:val="left" w:pos="1191"/>
                <w:tab w:val="left" w:pos="1588"/>
                <w:tab w:val="left" w:pos="1985"/>
              </w:tabs>
              <w:overflowPunct w:val="0"/>
              <w:autoSpaceDE w:val="0"/>
              <w:autoSpaceDN w:val="0"/>
              <w:adjustRightInd w:val="0"/>
              <w:spacing w:after="240"/>
              <w:ind w:left="1134" w:hanging="1134"/>
              <w:textAlignment w:val="baseline"/>
              <w:rPr>
                <w:rFonts w:ascii="Verdana" w:hAnsi="Verdana" w:cs="Times New Roman Bold"/>
                <w:sz w:val="21"/>
                <w:szCs w:val="22"/>
              </w:rPr>
            </w:pPr>
            <w:bookmarkStart w:id="2" w:name="recibido"/>
            <w:bookmarkStart w:id="3" w:name="dnum" w:colFirst="1" w:colLast="1"/>
            <w:bookmarkEnd w:id="2"/>
            <w:r w:rsidRPr="00916D04">
              <w:rPr>
                <w:rFonts w:ascii="Verdana" w:hAnsi="Verdana"/>
                <w:sz w:val="20"/>
                <w:szCs w:val="20"/>
              </w:rPr>
              <w:t>Source:</w:t>
            </w:r>
            <w:r w:rsidRPr="00916D04">
              <w:rPr>
                <w:rFonts w:ascii="Verdana" w:hAnsi="Verdana"/>
                <w:sz w:val="20"/>
                <w:szCs w:val="20"/>
              </w:rPr>
              <w:tab/>
              <w:t xml:space="preserve"> </w:t>
            </w:r>
            <w:r>
              <w:t xml:space="preserve">  Rec. ITU-R M.489-2, </w:t>
            </w:r>
            <w:r w:rsidR="00A750EF" w:rsidRPr="00A750EF">
              <w:rPr>
                <w:rFonts w:ascii="Courier New" w:hAnsi="Courier New" w:cs="Courier New"/>
              </w:rPr>
              <w:t>﻿</w:t>
            </w:r>
            <w:r w:rsidR="00A750EF" w:rsidRPr="00A750EF">
              <w:t>IMO/ITU EG 16/WP.1/Add.4</w:t>
            </w:r>
            <w:r w:rsidR="00992698">
              <w:t>,</w:t>
            </w:r>
            <w:r w:rsidR="00C05554">
              <w:t xml:space="preserve"> </w:t>
            </w:r>
            <w:r w:rsidR="00992698">
              <w:t xml:space="preserve">Rec.  </w:t>
            </w:r>
            <w:r w:rsidR="00992698" w:rsidRPr="00992698">
              <w:t>ITU-R M.1808-1</w:t>
            </w:r>
          </w:p>
          <w:p w14:paraId="543A0350" w14:textId="6EF7E7EC" w:rsidR="0032624D" w:rsidRPr="00916D04" w:rsidRDefault="0032624D" w:rsidP="005A4A00">
            <w:pPr>
              <w:shd w:val="solid" w:color="FFFFFF" w:fill="FFFFFF"/>
              <w:tabs>
                <w:tab w:val="left" w:pos="794"/>
                <w:tab w:val="left" w:pos="1191"/>
                <w:tab w:val="left" w:pos="1588"/>
                <w:tab w:val="left" w:pos="1985"/>
              </w:tabs>
              <w:overflowPunct w:val="0"/>
              <w:autoSpaceDE w:val="0"/>
              <w:autoSpaceDN w:val="0"/>
              <w:adjustRightInd w:val="0"/>
              <w:spacing w:after="240"/>
              <w:ind w:left="1134" w:hanging="1134"/>
              <w:textAlignment w:val="baseline"/>
              <w:rPr>
                <w:rFonts w:ascii="Verdana" w:hAnsi="Verdana"/>
                <w:sz w:val="20"/>
                <w:szCs w:val="20"/>
              </w:rPr>
            </w:pPr>
            <w:r w:rsidRPr="00916D04">
              <w:rPr>
                <w:rFonts w:ascii="Verdana" w:hAnsi="Verdana"/>
                <w:sz w:val="20"/>
                <w:szCs w:val="20"/>
              </w:rPr>
              <w:t xml:space="preserve">Subject: </w:t>
            </w:r>
            <w:r w:rsidRPr="00916D04">
              <w:rPr>
                <w:rFonts w:ascii="Verdana" w:hAnsi="Verdana"/>
                <w:sz w:val="20"/>
                <w:szCs w:val="20"/>
              </w:rPr>
              <w:tab/>
            </w:r>
            <w:r w:rsidR="00B76769">
              <w:rPr>
                <w:rFonts w:ascii="Verdana" w:hAnsi="Verdana"/>
                <w:sz w:val="20"/>
                <w:szCs w:val="20"/>
              </w:rPr>
              <w:t xml:space="preserve">VHF maritime radiotelephone </w:t>
            </w:r>
            <w:r>
              <w:rPr>
                <w:rFonts w:ascii="Verdana" w:hAnsi="Verdana"/>
                <w:sz w:val="20"/>
                <w:szCs w:val="20"/>
              </w:rPr>
              <w:t>SINAD Vs SNR</w:t>
            </w:r>
          </w:p>
        </w:tc>
        <w:tc>
          <w:tcPr>
            <w:tcW w:w="3402" w:type="dxa"/>
          </w:tcPr>
          <w:p w14:paraId="509E002F" w14:textId="77777777" w:rsidR="0032624D" w:rsidRPr="00916D04" w:rsidRDefault="0032624D" w:rsidP="005A4A00">
            <w:pPr>
              <w:shd w:val="solid" w:color="FFFFFF" w:fill="FFFFFF"/>
              <w:tabs>
                <w:tab w:val="left" w:pos="794"/>
                <w:tab w:val="left" w:pos="1191"/>
                <w:tab w:val="left" w:pos="1588"/>
                <w:tab w:val="left" w:pos="1985"/>
              </w:tabs>
              <w:overflowPunct w:val="0"/>
              <w:autoSpaceDE w:val="0"/>
              <w:autoSpaceDN w:val="0"/>
              <w:adjustRightInd w:val="0"/>
              <w:spacing w:line="240" w:lineRule="atLeast"/>
              <w:textAlignment w:val="baseline"/>
              <w:rPr>
                <w:rFonts w:ascii="Verdana" w:hAnsi="Verdana"/>
                <w:sz w:val="20"/>
                <w:szCs w:val="20"/>
                <w:lang w:eastAsia="zh-CN"/>
              </w:rPr>
            </w:pPr>
            <w:r w:rsidRPr="00916D04">
              <w:rPr>
                <w:rFonts w:ascii="Verdana" w:hAnsi="Verdana"/>
                <w:b/>
                <w:sz w:val="20"/>
                <w:szCs w:val="20"/>
                <w:lang w:eastAsia="zh-CN"/>
              </w:rPr>
              <w:t>Document 5B/-E</w:t>
            </w:r>
          </w:p>
        </w:tc>
      </w:tr>
      <w:tr w:rsidR="0032624D" w:rsidRPr="00916D04" w14:paraId="25A8BF53" w14:textId="77777777" w:rsidTr="005A4A00">
        <w:trPr>
          <w:cantSplit/>
        </w:trPr>
        <w:tc>
          <w:tcPr>
            <w:tcW w:w="6487" w:type="dxa"/>
            <w:vMerge/>
          </w:tcPr>
          <w:p w14:paraId="57EDCF91" w14:textId="77777777" w:rsidR="0032624D" w:rsidRPr="00916D04" w:rsidRDefault="0032624D" w:rsidP="005A4A00">
            <w:pPr>
              <w:tabs>
                <w:tab w:val="left" w:pos="794"/>
                <w:tab w:val="left" w:pos="1191"/>
                <w:tab w:val="left" w:pos="1588"/>
                <w:tab w:val="left" w:pos="1985"/>
              </w:tabs>
              <w:overflowPunct w:val="0"/>
              <w:autoSpaceDE w:val="0"/>
              <w:autoSpaceDN w:val="0"/>
              <w:adjustRightInd w:val="0"/>
              <w:spacing w:before="60"/>
              <w:jc w:val="center"/>
              <w:textAlignment w:val="baseline"/>
              <w:rPr>
                <w:b/>
                <w:smallCaps/>
                <w:sz w:val="32"/>
                <w:szCs w:val="20"/>
                <w:lang w:eastAsia="zh-CN"/>
              </w:rPr>
            </w:pPr>
            <w:bookmarkStart w:id="4" w:name="ddate" w:colFirst="1" w:colLast="1"/>
            <w:bookmarkEnd w:id="3"/>
          </w:p>
        </w:tc>
        <w:tc>
          <w:tcPr>
            <w:tcW w:w="3402" w:type="dxa"/>
          </w:tcPr>
          <w:p w14:paraId="5940CA96" w14:textId="4CA93F0F" w:rsidR="0032624D" w:rsidRPr="00916D04" w:rsidRDefault="0032624D" w:rsidP="005A4A00">
            <w:pPr>
              <w:shd w:val="solid" w:color="FFFFFF" w:fill="FFFFFF"/>
              <w:tabs>
                <w:tab w:val="left" w:pos="794"/>
                <w:tab w:val="left" w:pos="1191"/>
                <w:tab w:val="left" w:pos="1588"/>
                <w:tab w:val="left" w:pos="1985"/>
              </w:tabs>
              <w:overflowPunct w:val="0"/>
              <w:autoSpaceDE w:val="0"/>
              <w:autoSpaceDN w:val="0"/>
              <w:adjustRightInd w:val="0"/>
              <w:spacing w:line="240" w:lineRule="atLeast"/>
              <w:textAlignment w:val="baseline"/>
              <w:rPr>
                <w:rFonts w:ascii="Verdana" w:hAnsi="Verdana"/>
                <w:sz w:val="20"/>
                <w:szCs w:val="20"/>
                <w:lang w:eastAsia="zh-CN"/>
              </w:rPr>
            </w:pPr>
            <w:r>
              <w:rPr>
                <w:rFonts w:ascii="Verdana" w:hAnsi="Verdana"/>
                <w:b/>
                <w:i/>
                <w:iCs/>
                <w:sz w:val="20"/>
                <w:szCs w:val="20"/>
                <w:lang w:eastAsia="zh-CN"/>
              </w:rPr>
              <w:t>[18 September 2020]</w:t>
            </w:r>
          </w:p>
        </w:tc>
      </w:tr>
      <w:tr w:rsidR="0032624D" w:rsidRPr="00916D04" w14:paraId="30BFCB98" w14:textId="77777777" w:rsidTr="005A4A00">
        <w:trPr>
          <w:cantSplit/>
        </w:trPr>
        <w:tc>
          <w:tcPr>
            <w:tcW w:w="6487" w:type="dxa"/>
            <w:vMerge/>
          </w:tcPr>
          <w:p w14:paraId="55C09D08" w14:textId="77777777" w:rsidR="0032624D" w:rsidRPr="00916D04" w:rsidRDefault="0032624D" w:rsidP="005A4A00">
            <w:pPr>
              <w:tabs>
                <w:tab w:val="left" w:pos="794"/>
                <w:tab w:val="left" w:pos="1191"/>
                <w:tab w:val="left" w:pos="1588"/>
                <w:tab w:val="left" w:pos="1985"/>
              </w:tabs>
              <w:overflowPunct w:val="0"/>
              <w:autoSpaceDE w:val="0"/>
              <w:autoSpaceDN w:val="0"/>
              <w:adjustRightInd w:val="0"/>
              <w:spacing w:before="60"/>
              <w:jc w:val="center"/>
              <w:textAlignment w:val="baseline"/>
              <w:rPr>
                <w:b/>
                <w:smallCaps/>
                <w:sz w:val="32"/>
                <w:szCs w:val="20"/>
                <w:lang w:eastAsia="zh-CN"/>
              </w:rPr>
            </w:pPr>
            <w:bookmarkStart w:id="5" w:name="dorlang" w:colFirst="1" w:colLast="1"/>
            <w:bookmarkEnd w:id="4"/>
          </w:p>
        </w:tc>
        <w:tc>
          <w:tcPr>
            <w:tcW w:w="3402" w:type="dxa"/>
          </w:tcPr>
          <w:p w14:paraId="5955197E" w14:textId="77777777" w:rsidR="0032624D" w:rsidRPr="00916D04" w:rsidRDefault="0032624D" w:rsidP="005A4A00">
            <w:pPr>
              <w:shd w:val="solid" w:color="FFFFFF" w:fill="FFFFFF"/>
              <w:tabs>
                <w:tab w:val="left" w:pos="794"/>
                <w:tab w:val="left" w:pos="1191"/>
                <w:tab w:val="left" w:pos="1588"/>
                <w:tab w:val="left" w:pos="1985"/>
              </w:tabs>
              <w:overflowPunct w:val="0"/>
              <w:autoSpaceDE w:val="0"/>
              <w:autoSpaceDN w:val="0"/>
              <w:adjustRightInd w:val="0"/>
              <w:spacing w:line="240" w:lineRule="atLeast"/>
              <w:textAlignment w:val="baseline"/>
              <w:rPr>
                <w:rFonts w:ascii="Verdana" w:eastAsia="SimSun" w:hAnsi="Verdana"/>
                <w:sz w:val="20"/>
                <w:szCs w:val="20"/>
                <w:lang w:eastAsia="zh-CN"/>
              </w:rPr>
            </w:pPr>
            <w:r w:rsidRPr="00916D04">
              <w:rPr>
                <w:rFonts w:ascii="Verdana" w:eastAsia="SimSun" w:hAnsi="Verdana"/>
                <w:b/>
                <w:sz w:val="20"/>
                <w:szCs w:val="20"/>
                <w:lang w:eastAsia="zh-CN"/>
              </w:rPr>
              <w:t>English only</w:t>
            </w:r>
          </w:p>
        </w:tc>
      </w:tr>
      <w:tr w:rsidR="0032624D" w:rsidRPr="00916D04" w14:paraId="13288A79" w14:textId="77777777" w:rsidTr="005A4A00">
        <w:trPr>
          <w:cantSplit/>
        </w:trPr>
        <w:tc>
          <w:tcPr>
            <w:tcW w:w="9889" w:type="dxa"/>
            <w:gridSpan w:val="2"/>
          </w:tcPr>
          <w:p w14:paraId="48F2515F" w14:textId="77777777" w:rsidR="0032624D" w:rsidRPr="00916D04" w:rsidRDefault="0032624D" w:rsidP="005A4A00">
            <w:pPr>
              <w:tabs>
                <w:tab w:val="left" w:pos="794"/>
                <w:tab w:val="left" w:pos="1191"/>
                <w:tab w:val="left" w:pos="1588"/>
                <w:tab w:val="left" w:pos="1985"/>
              </w:tabs>
              <w:overflowPunct w:val="0"/>
              <w:autoSpaceDE w:val="0"/>
              <w:autoSpaceDN w:val="0"/>
              <w:adjustRightInd w:val="0"/>
              <w:spacing w:before="840" w:after="200"/>
              <w:jc w:val="center"/>
              <w:textAlignment w:val="baseline"/>
              <w:rPr>
                <w:b/>
                <w:sz w:val="28"/>
                <w:szCs w:val="20"/>
                <w:lang w:eastAsia="zh-CN"/>
              </w:rPr>
            </w:pPr>
            <w:bookmarkStart w:id="6" w:name="dsource" w:colFirst="0" w:colLast="0"/>
            <w:bookmarkEnd w:id="5"/>
            <w:r w:rsidRPr="00916D04">
              <w:rPr>
                <w:b/>
                <w:sz w:val="28"/>
                <w:szCs w:val="20"/>
                <w:lang w:eastAsia="zh-CN"/>
              </w:rPr>
              <w:t>United States of America</w:t>
            </w:r>
          </w:p>
        </w:tc>
      </w:tr>
      <w:bookmarkEnd w:id="6"/>
      <w:tr w:rsidR="0032624D" w:rsidRPr="00916D04" w14:paraId="2FBC776C" w14:textId="77777777" w:rsidTr="005A4A00">
        <w:trPr>
          <w:cantSplit/>
        </w:trPr>
        <w:tc>
          <w:tcPr>
            <w:tcW w:w="9889" w:type="dxa"/>
            <w:gridSpan w:val="2"/>
          </w:tcPr>
          <w:p w14:paraId="1554F916" w14:textId="2A6E3176" w:rsidR="0032624D" w:rsidRDefault="0032624D" w:rsidP="005A4A00">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280"/>
              <w:ind w:left="360"/>
              <w:jc w:val="center"/>
              <w:textAlignment w:val="baseline"/>
              <w:outlineLvl w:val="0"/>
              <w:rPr>
                <w:b/>
                <w:sz w:val="28"/>
                <w:szCs w:val="20"/>
              </w:rPr>
            </w:pPr>
            <w:r w:rsidRPr="0032624D">
              <w:rPr>
                <w:caps/>
                <w:sz w:val="28"/>
                <w:szCs w:val="20"/>
                <w:lang w:eastAsia="zh-CN"/>
              </w:rPr>
              <w:t>Proposed corrigendum to Recommendation ITU-R M.489-2</w:t>
            </w:r>
            <w:r w:rsidRPr="00916D04">
              <w:rPr>
                <w:caps/>
                <w:sz w:val="28"/>
                <w:szCs w:val="20"/>
                <w:lang w:eastAsia="zh-CN"/>
              </w:rPr>
              <w:t xml:space="preserve"> </w:t>
            </w:r>
            <w:r w:rsidRPr="00916D04">
              <w:rPr>
                <w:caps/>
                <w:sz w:val="28"/>
                <w:szCs w:val="20"/>
                <w:lang w:eastAsia="zh-CN"/>
              </w:rPr>
              <w:br/>
            </w:r>
            <w:r w:rsidR="009251E6">
              <w:rPr>
                <w:b/>
                <w:sz w:val="28"/>
                <w:szCs w:val="20"/>
              </w:rPr>
              <w:br/>
            </w:r>
          </w:p>
          <w:p w14:paraId="77E46C26" w14:textId="77777777" w:rsidR="0032624D" w:rsidRPr="00916D04" w:rsidRDefault="0032624D" w:rsidP="005A4A00">
            <w:pPr>
              <w:keepNext/>
              <w:keepLines/>
              <w:numPr>
                <w:ilvl w:val="0"/>
                <w:numId w:val="1"/>
              </w:numPr>
              <w:tabs>
                <w:tab w:val="left" w:pos="794"/>
                <w:tab w:val="left" w:pos="1134"/>
                <w:tab w:val="left" w:pos="1191"/>
                <w:tab w:val="left" w:pos="1588"/>
                <w:tab w:val="left" w:pos="1871"/>
                <w:tab w:val="left" w:pos="1985"/>
                <w:tab w:val="left" w:pos="2268"/>
              </w:tabs>
              <w:overflowPunct w:val="0"/>
              <w:autoSpaceDE w:val="0"/>
              <w:autoSpaceDN w:val="0"/>
              <w:adjustRightInd w:val="0"/>
              <w:spacing w:before="280"/>
              <w:textAlignment w:val="baseline"/>
              <w:outlineLvl w:val="0"/>
              <w:rPr>
                <w:b/>
                <w:sz w:val="28"/>
                <w:szCs w:val="20"/>
              </w:rPr>
            </w:pPr>
            <w:r w:rsidRPr="00916D04">
              <w:rPr>
                <w:b/>
                <w:sz w:val="28"/>
                <w:szCs w:val="20"/>
              </w:rPr>
              <w:t>Introduction</w:t>
            </w:r>
          </w:p>
          <w:p w14:paraId="1115DFA0" w14:textId="48240F5D" w:rsidR="0032624D" w:rsidRPr="00531DD2" w:rsidRDefault="00531DD2" w:rsidP="00531DD2">
            <w:pPr>
              <w:tabs>
                <w:tab w:val="left" w:pos="1134"/>
                <w:tab w:val="left" w:pos="1871"/>
                <w:tab w:val="left" w:pos="2268"/>
              </w:tabs>
              <w:overflowPunct w:val="0"/>
              <w:autoSpaceDE w:val="0"/>
              <w:autoSpaceDN w:val="0"/>
              <w:adjustRightInd w:val="0"/>
              <w:spacing w:before="120"/>
              <w:textAlignment w:val="baseline"/>
              <w:rPr>
                <w:bCs/>
                <w:i/>
              </w:rPr>
            </w:pPr>
            <w:r>
              <w:t xml:space="preserve">Recommendation ITU-R M.489-2 </w:t>
            </w:r>
            <w:r w:rsidRPr="00531DD2">
              <w:rPr>
                <w:rFonts w:ascii="Courier New" w:hAnsi="Courier New" w:cs="Courier New"/>
                <w:bCs/>
              </w:rPr>
              <w:t>﻿</w:t>
            </w:r>
            <w:r w:rsidRPr="00531DD2">
              <w:rPr>
                <w:bCs/>
                <w:i/>
              </w:rPr>
              <w:t>Technical characteristics of VHF radiotelephone</w:t>
            </w:r>
            <w:r>
              <w:rPr>
                <w:bCs/>
                <w:i/>
              </w:rPr>
              <w:t xml:space="preserve"> </w:t>
            </w:r>
            <w:r w:rsidRPr="00531DD2">
              <w:rPr>
                <w:bCs/>
                <w:i/>
              </w:rPr>
              <w:t>equipment operating in the maritime mobile service in channels spaced by 25 kHz</w:t>
            </w:r>
            <w:r w:rsidRPr="00531DD2">
              <w:rPr>
                <w:bCs/>
              </w:rPr>
              <w:t xml:space="preserve"> requirement for receiver sensitivity “for a given reference signal-to-noise ratio at the output of the receiver”</w:t>
            </w:r>
            <w:r>
              <w:rPr>
                <w:bCs/>
              </w:rPr>
              <w:t xml:space="preserve"> (§1.3.1), last updated in 1995,</w:t>
            </w:r>
            <w:r w:rsidRPr="00531DD2">
              <w:rPr>
                <w:bCs/>
              </w:rPr>
              <w:t xml:space="preserve"> has long been properly understood to mean a SINAD measurement, and is rightly interpreted that way by applicable test standards</w:t>
            </w:r>
            <w:r>
              <w:rPr>
                <w:rStyle w:val="FootnoteReference"/>
                <w:bCs/>
              </w:rPr>
              <w:footnoteReference w:id="1"/>
            </w:r>
            <w:r w:rsidRPr="00531DD2">
              <w:rPr>
                <w:bCs/>
              </w:rPr>
              <w:t>.  Yet over time some have misinterpreted that understanding and a clarification may now be warranted</w:t>
            </w:r>
            <w:r w:rsidR="004747E2">
              <w:rPr>
                <w:bCs/>
              </w:rPr>
              <w:t>, particularly when in developing electromagnetic compatibility (EMC) protection standards based upon this performance criteria</w:t>
            </w:r>
            <w:r w:rsidRPr="00531DD2">
              <w:rPr>
                <w:bCs/>
              </w:rPr>
              <w:t>.  The clarification might be simply accomplished editorially or by corrigendum.</w:t>
            </w:r>
            <w:r w:rsidR="0032624D">
              <w:t xml:space="preserve">  </w:t>
            </w:r>
            <w:r w:rsidR="009251E6">
              <w:br/>
            </w:r>
            <w:r w:rsidR="0032624D">
              <w:br/>
            </w:r>
          </w:p>
          <w:p w14:paraId="0F30AD4F" w14:textId="77777777" w:rsidR="0032624D" w:rsidRPr="00B010B2" w:rsidRDefault="0032624D" w:rsidP="005A4A00">
            <w:pPr>
              <w:pStyle w:val="ListParagraph"/>
              <w:numPr>
                <w:ilvl w:val="0"/>
                <w:numId w:val="1"/>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b/>
                <w:sz w:val="28"/>
              </w:rPr>
            </w:pPr>
            <w:r w:rsidRPr="00B010B2">
              <w:rPr>
                <w:rFonts w:ascii="Times New Roman" w:hAnsi="Times New Roman" w:cs="Times New Roman"/>
                <w:b/>
                <w:sz w:val="28"/>
              </w:rPr>
              <w:t>Background</w:t>
            </w:r>
          </w:p>
          <w:p w14:paraId="063CB49A" w14:textId="2EA341E7" w:rsidR="0032624D" w:rsidRPr="004C58FC" w:rsidRDefault="004C58FC" w:rsidP="004C58FC">
            <w:pPr>
              <w:tabs>
                <w:tab w:val="left" w:pos="1134"/>
                <w:tab w:val="left" w:pos="1871"/>
                <w:tab w:val="left" w:pos="2268"/>
              </w:tabs>
              <w:overflowPunct w:val="0"/>
              <w:autoSpaceDE w:val="0"/>
              <w:autoSpaceDN w:val="0"/>
              <w:adjustRightInd w:val="0"/>
              <w:spacing w:before="120"/>
              <w:textAlignment w:val="baseline"/>
            </w:pPr>
            <w:r w:rsidRPr="004C58FC">
              <w:rPr>
                <w:rFonts w:ascii="Courier New" w:hAnsi="Courier New" w:cs="Courier New"/>
                <w:i/>
              </w:rPr>
              <w:t>﻿</w:t>
            </w:r>
            <w:r w:rsidRPr="004C58FC">
              <w:t>Recommendation ITU-R M.1808-1</w:t>
            </w:r>
            <w:r>
              <w:t xml:space="preserve"> </w:t>
            </w:r>
            <w:r w:rsidRPr="004C58FC">
              <w:rPr>
                <w:i/>
              </w:rPr>
              <w:t>Technical and operational characteristics of conventional and trunked land mobile systems operating in the mobile service allocations below 869 MHz to be used in sharing studies in bands below 960 MHz</w:t>
            </w:r>
            <w:r>
              <w:t xml:space="preserve"> notes that conventional land mobile </w:t>
            </w:r>
            <w:r w:rsidR="00B76769">
              <w:t>analogue systems are designed to meet performance criteria usually expressed by SINAD</w:t>
            </w:r>
            <w:r w:rsidRPr="004C58FC">
              <w:t xml:space="preserve">.  </w:t>
            </w:r>
            <w:r w:rsidR="00B76769">
              <w:t>“</w:t>
            </w:r>
            <w:r w:rsidRPr="004C58FC">
              <w:t xml:space="preserve">SINAD is the ratio of </w:t>
            </w:r>
            <w:proofErr w:type="spellStart"/>
            <w:r w:rsidRPr="004C58FC">
              <w:t>signal+noise+distortion</w:t>
            </w:r>
            <w:proofErr w:type="spellEnd"/>
            <w:r w:rsidRPr="004C58FC">
              <w:t xml:space="preserve"> divided by </w:t>
            </w:r>
            <w:proofErr w:type="spellStart"/>
            <w:r w:rsidRPr="004C58FC">
              <w:t>noise+distortion</w:t>
            </w:r>
            <w:proofErr w:type="spellEnd"/>
            <w:r w:rsidRPr="004C58FC">
              <w:t xml:space="preserve">, expressed in </w:t>
            </w:r>
            <w:proofErr w:type="spellStart"/>
            <w:r w:rsidRPr="004C58FC">
              <w:t>dB.</w:t>
            </w:r>
            <w:proofErr w:type="spellEnd"/>
            <w:r>
              <w:t xml:space="preserve">  </w:t>
            </w:r>
            <w:r w:rsidR="00B76769" w:rsidRPr="00B76769">
              <w:t>It is measured at the receiver audio output and provides a quantitative measurement of the quality of an audio signal. Report ITU-R M.358-5 suggests that a SINAD ratio of 12 dB is convenient for establishing degradation protection for land mobile systems but SINAD values between 12 and 20 dB are often used when designing these systems.</w:t>
            </w:r>
            <w:r w:rsidR="00B76769">
              <w:t>”</w:t>
            </w:r>
            <w:r w:rsidR="00B76769">
              <w:rPr>
                <w:rStyle w:val="FootnoteReference"/>
              </w:rPr>
              <w:footnoteReference w:id="2"/>
            </w:r>
            <w:r w:rsidR="00B76769">
              <w:t xml:space="preserve">  IMO specifies 20 dB for this value for VHF maritime radiotelephone systems used in the GMDSS</w:t>
            </w:r>
            <w:r w:rsidR="004747E2">
              <w:rPr>
                <w:rStyle w:val="FootnoteReference"/>
              </w:rPr>
              <w:footnoteReference w:id="3"/>
            </w:r>
            <w:r w:rsidR="00B76769">
              <w:t xml:space="preserve"> since th</w:t>
            </w:r>
            <w:r w:rsidR="00F74FB5">
              <w:t>at</w:t>
            </w:r>
            <w:r w:rsidR="00B76769">
              <w:t xml:space="preserve"> system is used for distress and safety purposes.   </w:t>
            </w:r>
            <w:r w:rsidR="009251E6">
              <w:br/>
            </w:r>
          </w:p>
          <w:p w14:paraId="61E935AF" w14:textId="77777777" w:rsidR="0032624D" w:rsidRPr="00916D04" w:rsidRDefault="0032624D" w:rsidP="005A4A00">
            <w:pPr>
              <w:keepNext/>
              <w:keepLines/>
              <w:numPr>
                <w:ilvl w:val="0"/>
                <w:numId w:val="1"/>
              </w:numPr>
              <w:tabs>
                <w:tab w:val="left" w:pos="794"/>
                <w:tab w:val="left" w:pos="1134"/>
                <w:tab w:val="left" w:pos="1191"/>
                <w:tab w:val="left" w:pos="1588"/>
                <w:tab w:val="left" w:pos="1871"/>
                <w:tab w:val="left" w:pos="1985"/>
                <w:tab w:val="left" w:pos="2268"/>
              </w:tabs>
              <w:overflowPunct w:val="0"/>
              <w:autoSpaceDE w:val="0"/>
              <w:autoSpaceDN w:val="0"/>
              <w:adjustRightInd w:val="0"/>
              <w:spacing w:before="280"/>
              <w:textAlignment w:val="baseline"/>
              <w:outlineLvl w:val="0"/>
              <w:rPr>
                <w:b/>
                <w:szCs w:val="20"/>
              </w:rPr>
            </w:pPr>
            <w:r>
              <w:rPr>
                <w:b/>
                <w:sz w:val="28"/>
                <w:szCs w:val="20"/>
              </w:rPr>
              <w:t>Proposal</w:t>
            </w:r>
          </w:p>
          <w:p w14:paraId="4ABD6E30" w14:textId="77777777" w:rsidR="0032624D" w:rsidRDefault="0032624D" w:rsidP="005A4A00">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b/>
                <w:szCs w:val="20"/>
              </w:rPr>
            </w:pPr>
          </w:p>
          <w:p w14:paraId="60390BB1" w14:textId="323BAC1A" w:rsidR="0032624D" w:rsidRDefault="0032624D" w:rsidP="005A4A00">
            <w:pPr>
              <w:tabs>
                <w:tab w:val="left" w:pos="1134"/>
                <w:tab w:val="left" w:pos="1871"/>
                <w:tab w:val="left" w:pos="2268"/>
              </w:tabs>
              <w:overflowPunct w:val="0"/>
              <w:autoSpaceDE w:val="0"/>
              <w:autoSpaceDN w:val="0"/>
              <w:adjustRightInd w:val="0"/>
              <w:spacing w:before="120"/>
              <w:textAlignment w:val="baseline"/>
              <w:rPr>
                <w:szCs w:val="20"/>
              </w:rPr>
            </w:pPr>
            <w:r>
              <w:rPr>
                <w:szCs w:val="20"/>
              </w:rPr>
              <w:t>It is proposed that</w:t>
            </w:r>
            <w:r w:rsidR="00AE5635">
              <w:rPr>
                <w:szCs w:val="20"/>
              </w:rPr>
              <w:t xml:space="preserve"> §1.3.1 </w:t>
            </w:r>
            <w:r w:rsidR="00EF1EE3">
              <w:rPr>
                <w:szCs w:val="20"/>
              </w:rPr>
              <w:t xml:space="preserve">be amended or footnoted </w:t>
            </w:r>
            <w:r w:rsidR="00AE5635">
              <w:rPr>
                <w:szCs w:val="20"/>
              </w:rPr>
              <w:t>in such a way as to clarify the text without in any way changing its originally intended meaning, e.g.:</w:t>
            </w:r>
          </w:p>
          <w:p w14:paraId="15CD0CEB" w14:textId="76755275" w:rsidR="00AE5635" w:rsidRDefault="00AE5635" w:rsidP="005A4A00">
            <w:pPr>
              <w:tabs>
                <w:tab w:val="left" w:pos="1134"/>
                <w:tab w:val="left" w:pos="1871"/>
                <w:tab w:val="left" w:pos="2268"/>
              </w:tabs>
              <w:overflowPunct w:val="0"/>
              <w:autoSpaceDE w:val="0"/>
              <w:autoSpaceDN w:val="0"/>
              <w:adjustRightInd w:val="0"/>
              <w:spacing w:before="120"/>
              <w:textAlignment w:val="baseline"/>
              <w:rPr>
                <w:szCs w:val="20"/>
              </w:rPr>
            </w:pPr>
          </w:p>
          <w:p w14:paraId="1527645E" w14:textId="77777777" w:rsidR="00AE5635" w:rsidRPr="00AE5635" w:rsidRDefault="00AE5635" w:rsidP="00AE5635">
            <w:pPr>
              <w:tabs>
                <w:tab w:val="left" w:pos="1134"/>
                <w:tab w:val="left" w:pos="1871"/>
                <w:tab w:val="left" w:pos="2268"/>
              </w:tabs>
              <w:overflowPunct w:val="0"/>
              <w:autoSpaceDE w:val="0"/>
              <w:autoSpaceDN w:val="0"/>
              <w:adjustRightInd w:val="0"/>
              <w:spacing w:before="120"/>
              <w:textAlignment w:val="baseline"/>
              <w:rPr>
                <w:szCs w:val="20"/>
              </w:rPr>
            </w:pPr>
            <w:r w:rsidRPr="00AE5635">
              <w:rPr>
                <w:rFonts w:ascii="Courier New" w:hAnsi="Courier New" w:cs="Courier New"/>
                <w:szCs w:val="20"/>
              </w:rPr>
              <w:t>﻿</w:t>
            </w:r>
            <w:r w:rsidRPr="00F74FB5">
              <w:rPr>
                <w:sz w:val="28"/>
                <w:szCs w:val="20"/>
              </w:rPr>
              <w:t>1.3 Receivers</w:t>
            </w:r>
          </w:p>
          <w:p w14:paraId="0DE95076" w14:textId="53815CC0" w:rsidR="00AE5635" w:rsidRDefault="00AE5635" w:rsidP="00AE5635">
            <w:pPr>
              <w:tabs>
                <w:tab w:val="left" w:pos="1134"/>
                <w:tab w:val="left" w:pos="1871"/>
                <w:tab w:val="left" w:pos="2268"/>
              </w:tabs>
              <w:overflowPunct w:val="0"/>
              <w:autoSpaceDE w:val="0"/>
              <w:autoSpaceDN w:val="0"/>
              <w:adjustRightInd w:val="0"/>
              <w:spacing w:before="120"/>
              <w:textAlignment w:val="baseline"/>
              <w:rPr>
                <w:szCs w:val="20"/>
              </w:rPr>
            </w:pPr>
            <w:r w:rsidRPr="00AE5635">
              <w:rPr>
                <w:szCs w:val="20"/>
              </w:rPr>
              <w:t xml:space="preserve">1.3.1 The reference sensitivity should be equal to or less than 2.0 µV, </w:t>
            </w:r>
            <w:proofErr w:type="spellStart"/>
            <w:r w:rsidRPr="00AE5635">
              <w:rPr>
                <w:szCs w:val="20"/>
              </w:rPr>
              <w:t>e.m.f</w:t>
            </w:r>
            <w:proofErr w:type="spellEnd"/>
            <w:r w:rsidRPr="00AE5635">
              <w:rPr>
                <w:szCs w:val="20"/>
              </w:rPr>
              <w:t>., for a given reference signal-to-noise</w:t>
            </w:r>
            <w:r>
              <w:rPr>
                <w:szCs w:val="20"/>
                <w:u w:val="single"/>
              </w:rPr>
              <w:t>-and distortion (SINAD)</w:t>
            </w:r>
            <w:r>
              <w:rPr>
                <w:szCs w:val="20"/>
              </w:rPr>
              <w:t xml:space="preserve"> </w:t>
            </w:r>
            <w:r w:rsidRPr="00AE5635">
              <w:rPr>
                <w:szCs w:val="20"/>
              </w:rPr>
              <w:t>ratio at the output of the receiver.</w:t>
            </w:r>
          </w:p>
          <w:p w14:paraId="0782607E" w14:textId="77777777" w:rsidR="0032624D" w:rsidRPr="00916D04" w:rsidRDefault="0032624D" w:rsidP="005A4A00">
            <w:pPr>
              <w:tabs>
                <w:tab w:val="left" w:pos="1134"/>
                <w:tab w:val="left" w:pos="1871"/>
                <w:tab w:val="left" w:pos="2268"/>
              </w:tabs>
              <w:overflowPunct w:val="0"/>
              <w:autoSpaceDE w:val="0"/>
              <w:autoSpaceDN w:val="0"/>
              <w:adjustRightInd w:val="0"/>
              <w:spacing w:before="120"/>
              <w:textAlignment w:val="baseline"/>
              <w:rPr>
                <w:szCs w:val="20"/>
              </w:rPr>
            </w:pPr>
          </w:p>
        </w:tc>
      </w:tr>
    </w:tbl>
    <w:p w14:paraId="4D44CC40" w14:textId="77777777" w:rsidR="00BD51ED" w:rsidRDefault="00BE31E4"/>
    <w:sectPr w:rsidR="00BD51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61FC9" w14:textId="77777777" w:rsidR="001277A4" w:rsidRDefault="001277A4" w:rsidP="00D73705">
      <w:r>
        <w:separator/>
      </w:r>
    </w:p>
  </w:endnote>
  <w:endnote w:type="continuationSeparator" w:id="0">
    <w:p w14:paraId="3D38BA25" w14:textId="77777777" w:rsidR="001277A4" w:rsidRDefault="001277A4"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DBC23"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562F9"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2AABD"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A9A25" w14:textId="77777777" w:rsidR="001277A4" w:rsidRDefault="001277A4" w:rsidP="00D73705">
      <w:r>
        <w:separator/>
      </w:r>
    </w:p>
  </w:footnote>
  <w:footnote w:type="continuationSeparator" w:id="0">
    <w:p w14:paraId="1A33412D" w14:textId="77777777" w:rsidR="001277A4" w:rsidRDefault="001277A4" w:rsidP="00D73705">
      <w:r>
        <w:continuationSeparator/>
      </w:r>
    </w:p>
  </w:footnote>
  <w:footnote w:id="1">
    <w:p w14:paraId="0C629188" w14:textId="2804BEDC" w:rsidR="00531DD2" w:rsidRDefault="00531DD2" w:rsidP="00531DD2">
      <w:pPr>
        <w:pStyle w:val="FootnoteText"/>
      </w:pPr>
      <w:r>
        <w:rPr>
          <w:rStyle w:val="FootnoteReference"/>
        </w:rPr>
        <w:footnoteRef/>
      </w:r>
      <w:r>
        <w:t xml:space="preserve"> See for example </w:t>
      </w:r>
      <w:r>
        <w:rPr>
          <w:rFonts w:ascii="Courier New" w:hAnsi="Courier New" w:cs="Courier New"/>
        </w:rPr>
        <w:t>﻿</w:t>
      </w:r>
      <w:r>
        <w:t>IEC 61097-7, paragraph 5.5.3.1, and IEC 61097-3, paragraph 4.2.5.1.4, for GMDSS VHF</w:t>
      </w:r>
    </w:p>
    <w:p w14:paraId="751967E5" w14:textId="1FBB7646" w:rsidR="00531DD2" w:rsidRDefault="00531DD2" w:rsidP="00531DD2">
      <w:pPr>
        <w:pStyle w:val="FootnoteText"/>
      </w:pPr>
      <w:r>
        <w:t>radiotelephone</w:t>
      </w:r>
      <w:r w:rsidR="00E83BCA">
        <w:t>.</w:t>
      </w:r>
    </w:p>
  </w:footnote>
  <w:footnote w:id="2">
    <w:p w14:paraId="08F9ECE3" w14:textId="00B90ABB" w:rsidR="00B76769" w:rsidRDefault="00B76769">
      <w:pPr>
        <w:pStyle w:val="FootnoteText"/>
      </w:pPr>
      <w:r>
        <w:rPr>
          <w:rStyle w:val="FootnoteReference"/>
        </w:rPr>
        <w:footnoteRef/>
      </w:r>
      <w:r>
        <w:t xml:space="preserve"> Rec. ITU-R M.1808-1 §2.3</w:t>
      </w:r>
    </w:p>
  </w:footnote>
  <w:footnote w:id="3">
    <w:p w14:paraId="16D6721F" w14:textId="1C488384" w:rsidR="004747E2" w:rsidRDefault="004747E2" w:rsidP="004747E2">
      <w:pPr>
        <w:pStyle w:val="FootnoteText"/>
      </w:pPr>
      <w:r>
        <w:rPr>
          <w:rStyle w:val="FootnoteReference"/>
        </w:rPr>
        <w:footnoteRef/>
      </w:r>
      <w:r>
        <w:t xml:space="preserve"> IMO </w:t>
      </w:r>
      <w:r>
        <w:rPr>
          <w:rFonts w:ascii="Courier New" w:hAnsi="Courier New" w:cs="Courier New"/>
        </w:rPr>
        <w:t>﻿</w:t>
      </w:r>
      <w:r>
        <w:t>Resolution A.803(19) on Performance Standards for Shipborne VHF Radio Installations Capable of Voice</w:t>
      </w:r>
    </w:p>
    <w:p w14:paraId="7FAE1259" w14:textId="302B7C40" w:rsidR="004747E2" w:rsidRDefault="004747E2" w:rsidP="004747E2">
      <w:pPr>
        <w:pStyle w:val="FootnoteText"/>
      </w:pPr>
      <w:r>
        <w:t xml:space="preserve">Communication and Digital Selective Calling.  IMO/ITU EG16 agreed to a similar clarification in this performance standard in </w:t>
      </w:r>
      <w:r w:rsidRPr="004747E2">
        <w:t>EG 16/WP.1/Add.4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92BF" w14:textId="23E516C0" w:rsidR="00D73705" w:rsidRDefault="00BE31E4">
    <w:pPr>
      <w:pStyle w:val="Header"/>
    </w:pPr>
    <w:r>
      <w:rPr>
        <w:noProof/>
      </w:rPr>
      <w:pict w14:anchorId="26A69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2606"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f2f2f2 [3052]"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D8259" w14:textId="6950566D" w:rsidR="00D73705" w:rsidRDefault="00BE31E4">
    <w:pPr>
      <w:pStyle w:val="Header"/>
    </w:pPr>
    <w:r>
      <w:rPr>
        <w:noProof/>
      </w:rPr>
      <w:pict w14:anchorId="4A108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2607"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f2f2f2 [3052]"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594AD" w14:textId="138D64B3" w:rsidR="00D73705" w:rsidRDefault="00BE31E4">
    <w:pPr>
      <w:pStyle w:val="Header"/>
    </w:pPr>
    <w:r>
      <w:rPr>
        <w:noProof/>
      </w:rPr>
      <w:pict w14:anchorId="325CD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2605"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f2f2f2 [3052]"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91360"/>
    <w:multiLevelType w:val="hybridMultilevel"/>
    <w:tmpl w:val="36163D3C"/>
    <w:lvl w:ilvl="0" w:tplc="81145288">
      <w:start w:val="1"/>
      <w:numFmt w:val="decimal"/>
      <w:lvlText w:val="%1."/>
      <w:lvlJc w:val="lef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03"/>
    <w:rsid w:val="00036327"/>
    <w:rsid w:val="00077483"/>
    <w:rsid w:val="000B2701"/>
    <w:rsid w:val="001277A4"/>
    <w:rsid w:val="001F0397"/>
    <w:rsid w:val="002A3DE4"/>
    <w:rsid w:val="002F7B0F"/>
    <w:rsid w:val="0032624D"/>
    <w:rsid w:val="00377072"/>
    <w:rsid w:val="00434A34"/>
    <w:rsid w:val="004747E2"/>
    <w:rsid w:val="004A0B89"/>
    <w:rsid w:val="004B43CF"/>
    <w:rsid w:val="004C58FC"/>
    <w:rsid w:val="00531DD2"/>
    <w:rsid w:val="005555F3"/>
    <w:rsid w:val="00654F3B"/>
    <w:rsid w:val="0068229D"/>
    <w:rsid w:val="00740154"/>
    <w:rsid w:val="00790A03"/>
    <w:rsid w:val="009251E6"/>
    <w:rsid w:val="00992698"/>
    <w:rsid w:val="00A750EF"/>
    <w:rsid w:val="00AE5635"/>
    <w:rsid w:val="00B65C6B"/>
    <w:rsid w:val="00B76769"/>
    <w:rsid w:val="00BE31E4"/>
    <w:rsid w:val="00C05554"/>
    <w:rsid w:val="00C52078"/>
    <w:rsid w:val="00CE183F"/>
    <w:rsid w:val="00D73705"/>
    <w:rsid w:val="00E658D1"/>
    <w:rsid w:val="00E83BCA"/>
    <w:rsid w:val="00EF1EE3"/>
    <w:rsid w:val="00F7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03AAC"/>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paragraph" w:styleId="ListParagraph">
    <w:name w:val="List Paragraph"/>
    <w:basedOn w:val="Normal"/>
    <w:uiPriority w:val="34"/>
    <w:qFormat/>
    <w:rsid w:val="0032624D"/>
    <w:pPr>
      <w:ind w:left="720"/>
      <w:contextualSpacing/>
    </w:pPr>
    <w:rPr>
      <w:rFonts w:ascii="Arial" w:eastAsiaTheme="minorHAnsi" w:hAnsi="Arial" w:cs="Arial"/>
    </w:rPr>
  </w:style>
  <w:style w:type="paragraph" w:styleId="FootnoteText">
    <w:name w:val="footnote text"/>
    <w:basedOn w:val="Normal"/>
    <w:link w:val="FootnoteTextChar"/>
    <w:uiPriority w:val="99"/>
    <w:semiHidden/>
    <w:unhideWhenUsed/>
    <w:rsid w:val="00531DD2"/>
    <w:rPr>
      <w:sz w:val="20"/>
      <w:szCs w:val="20"/>
    </w:rPr>
  </w:style>
  <w:style w:type="character" w:customStyle="1" w:styleId="FootnoteTextChar">
    <w:name w:val="Footnote Text Char"/>
    <w:basedOn w:val="DefaultParagraphFont"/>
    <w:link w:val="FootnoteText"/>
    <w:uiPriority w:val="99"/>
    <w:semiHidden/>
    <w:rsid w:val="00531D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1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Wright, Sandra</cp:lastModifiedBy>
  <cp:revision>3</cp:revision>
  <dcterms:created xsi:type="dcterms:W3CDTF">2020-09-25T22:06:00Z</dcterms:created>
  <dcterms:modified xsi:type="dcterms:W3CDTF">2020-09-26T02:33:00Z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