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46F02" w14:textId="121CBCD3" w:rsidR="00392B01" w:rsidRDefault="00392B01" w:rsidP="00392B01">
      <w:pPr>
        <w:jc w:val="center"/>
      </w:pPr>
    </w:p>
    <w:tbl>
      <w:tblPr>
        <w:tblpPr w:leftFromText="180" w:rightFromText="180" w:vertAnchor="text" w:horzAnchor="margin" w:tblpY="106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7"/>
        <w:gridCol w:w="4826"/>
      </w:tblGrid>
      <w:tr w:rsidR="00647895" w:rsidRPr="00A02BF0" w14:paraId="63DF2D84" w14:textId="77777777" w:rsidTr="00647895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4A8B4215" w14:textId="77777777" w:rsidR="00647895" w:rsidRPr="00A02BF0" w:rsidRDefault="00647895" w:rsidP="0064789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5B72F2F3" w14:textId="77777777" w:rsidR="00647895" w:rsidRPr="00A02BF0" w:rsidRDefault="00647895" w:rsidP="00647895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647895" w:rsidRPr="00A02BF0" w14:paraId="75E81090" w14:textId="77777777" w:rsidTr="00C948AD">
        <w:trPr>
          <w:trHeight w:val="946"/>
        </w:trPr>
        <w:tc>
          <w:tcPr>
            <w:tcW w:w="4567" w:type="dxa"/>
            <w:tcBorders>
              <w:left w:val="double" w:sz="6" w:space="0" w:color="auto"/>
            </w:tcBorders>
          </w:tcPr>
          <w:p w14:paraId="03E2079C" w14:textId="460D3A1D" w:rsidR="00F0685D" w:rsidRPr="00A02BF0" w:rsidRDefault="00647895" w:rsidP="00C948AD">
            <w:pPr>
              <w:spacing w:after="120"/>
              <w:ind w:right="144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 </w:t>
            </w:r>
            <w:r>
              <w:t>4</w:t>
            </w:r>
            <w:r w:rsidR="002863A5">
              <w:t>C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114A994E" w14:textId="406ABFC7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</w:t>
            </w:r>
            <w:r>
              <w:t>4</w:t>
            </w:r>
            <w:r w:rsidR="00D61F42">
              <w:t>C</w:t>
            </w:r>
            <w:r w:rsidRPr="00A02BF0">
              <w:t>-</w:t>
            </w:r>
            <w:r w:rsidR="006F0D14">
              <w:t>09</w:t>
            </w:r>
          </w:p>
        </w:tc>
      </w:tr>
      <w:tr w:rsidR="00647895" w:rsidRPr="00A02BF0" w14:paraId="4709C7CF" w14:textId="77777777" w:rsidTr="00647895">
        <w:trPr>
          <w:trHeight w:val="378"/>
        </w:trPr>
        <w:tc>
          <w:tcPr>
            <w:tcW w:w="4567" w:type="dxa"/>
            <w:tcBorders>
              <w:left w:val="double" w:sz="6" w:space="0" w:color="auto"/>
            </w:tcBorders>
          </w:tcPr>
          <w:p w14:paraId="62D04C3C" w14:textId="253E2250" w:rsidR="00647895" w:rsidRPr="00A02BF0" w:rsidRDefault="00647895" w:rsidP="00647895">
            <w:pPr>
              <w:spacing w:after="120"/>
              <w:ind w:right="144"/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="0026793D">
              <w:t>Resolution 249 (WRC-23)</w:t>
            </w: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6C099799" w14:textId="1CAB2D4D" w:rsidR="00647895" w:rsidRPr="00A02BF0" w:rsidRDefault="00647895" w:rsidP="00647895">
            <w:pPr>
              <w:tabs>
                <w:tab w:val="left" w:pos="162"/>
              </w:tabs>
              <w:spacing w:after="120"/>
              <w:ind w:right="144"/>
            </w:pPr>
            <w:r w:rsidRPr="00A02BF0">
              <w:rPr>
                <w:b/>
              </w:rPr>
              <w:t>Date:</w:t>
            </w:r>
            <w:r w:rsidRPr="00A02BF0">
              <w:t xml:space="preserve">  </w:t>
            </w:r>
            <w:r>
              <w:t>2</w:t>
            </w:r>
            <w:r w:rsidR="0026793D">
              <w:t>6</w:t>
            </w:r>
            <w:r>
              <w:t xml:space="preserve"> January 2024</w:t>
            </w:r>
          </w:p>
        </w:tc>
      </w:tr>
      <w:tr w:rsidR="00647895" w:rsidRPr="00A02BF0" w14:paraId="7728F6DA" w14:textId="77777777" w:rsidTr="00647895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5D433A85" w14:textId="57783472" w:rsidR="00647895" w:rsidRPr="00F467AC" w:rsidRDefault="00647895" w:rsidP="00647895">
            <w:pPr>
              <w:pStyle w:val="Heading2"/>
              <w:spacing w:before="0" w:after="120"/>
              <w:ind w:left="0" w:firstLine="0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26793D">
              <w:rPr>
                <w:b w:val="0"/>
                <w:lang w:eastAsia="zh-CN"/>
              </w:rPr>
              <w:t xml:space="preserve">Working Document toward Preliminary Draft New Report </w:t>
            </w:r>
            <w:r w:rsidR="00AD3818">
              <w:rPr>
                <w:b w:val="0"/>
                <w:lang w:eastAsia="zh-CN"/>
              </w:rPr>
              <w:t>M</w:t>
            </w:r>
            <w:r w:rsidR="0026793D">
              <w:rPr>
                <w:b w:val="0"/>
                <w:lang w:eastAsia="zh-CN"/>
              </w:rPr>
              <w:t xml:space="preserve">.[MSS_SPACE_LINKS] </w:t>
            </w:r>
          </w:p>
        </w:tc>
      </w:tr>
      <w:tr w:rsidR="00135491" w:rsidRPr="00A02BF0" w14:paraId="19204B51" w14:textId="77777777" w:rsidTr="00647895">
        <w:trPr>
          <w:trHeight w:val="1960"/>
        </w:trPr>
        <w:tc>
          <w:tcPr>
            <w:tcW w:w="4567" w:type="dxa"/>
            <w:tcBorders>
              <w:left w:val="double" w:sz="6" w:space="0" w:color="auto"/>
            </w:tcBorders>
          </w:tcPr>
          <w:p w14:paraId="4723FC51" w14:textId="77777777" w:rsidR="00135491" w:rsidRPr="00A02BF0" w:rsidRDefault="00135491" w:rsidP="00135491">
            <w:pPr>
              <w:spacing w:after="120"/>
              <w:ind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4A938777" w14:textId="77777777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Brennan Price</w:t>
            </w:r>
          </w:p>
          <w:p w14:paraId="18C0CA7B" w14:textId="77777777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Viasat</w:t>
            </w:r>
          </w:p>
          <w:p w14:paraId="19075928" w14:textId="77777777" w:rsidR="003939F8" w:rsidRDefault="003939F8" w:rsidP="003939F8">
            <w:pPr>
              <w:ind w:left="144" w:right="144"/>
              <w:rPr>
                <w:bCs/>
                <w:iCs/>
              </w:rPr>
            </w:pPr>
          </w:p>
          <w:p w14:paraId="04F2E7EC" w14:textId="7C79D4C0" w:rsidR="003939F8" w:rsidRDefault="003939F8" w:rsidP="003939F8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Tatiana Lawrence</w:t>
            </w:r>
          </w:p>
          <w:p w14:paraId="75B80400" w14:textId="233EDD61" w:rsidR="003939F8" w:rsidRDefault="003939F8" w:rsidP="003939F8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Iridium</w:t>
            </w:r>
          </w:p>
          <w:p w14:paraId="08BFE9AD" w14:textId="77777777" w:rsidR="003939F8" w:rsidRDefault="003939F8" w:rsidP="00135491">
            <w:pPr>
              <w:ind w:left="144" w:right="144"/>
              <w:rPr>
                <w:bCs/>
                <w:iCs/>
              </w:rPr>
            </w:pPr>
          </w:p>
          <w:p w14:paraId="12308511" w14:textId="01A742F2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Damon Ladson</w:t>
            </w:r>
          </w:p>
          <w:p w14:paraId="6A6D8A5B" w14:textId="77777777" w:rsidR="00135491" w:rsidRDefault="00135491" w:rsidP="0013549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HWG LLP for Iridium</w:t>
            </w:r>
          </w:p>
          <w:p w14:paraId="21DF57B7" w14:textId="09CDBD41" w:rsidR="00ED1934" w:rsidRDefault="00ED1934" w:rsidP="00ED1934">
            <w:pPr>
              <w:spacing w:after="120"/>
              <w:ind w:right="144"/>
              <w:rPr>
                <w:bCs/>
                <w:iCs/>
              </w:rPr>
            </w:pPr>
          </w:p>
          <w:p w14:paraId="3D2C8736" w14:textId="794CDABE" w:rsidR="00135491" w:rsidRPr="00A02BF0" w:rsidRDefault="00135491" w:rsidP="00135491">
            <w:pPr>
              <w:spacing w:after="120"/>
              <w:ind w:left="144" w:right="144"/>
              <w:rPr>
                <w:bCs/>
                <w:iCs/>
              </w:rPr>
            </w:pPr>
          </w:p>
        </w:tc>
        <w:tc>
          <w:tcPr>
            <w:tcW w:w="4826" w:type="dxa"/>
            <w:tcBorders>
              <w:right w:val="double" w:sz="6" w:space="0" w:color="auto"/>
            </w:tcBorders>
          </w:tcPr>
          <w:p w14:paraId="4A24AC2E" w14:textId="77777777" w:rsidR="00135491" w:rsidRDefault="00135491" w:rsidP="00135491">
            <w:pPr>
              <w:spacing w:after="120"/>
              <w:ind w:right="144"/>
              <w:rPr>
                <w:b/>
                <w:bCs/>
              </w:rPr>
            </w:pPr>
          </w:p>
          <w:p w14:paraId="7BEE35D3" w14:textId="77777777" w:rsidR="00135491" w:rsidRDefault="00135491" w:rsidP="00135491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6" w:history="1">
              <w:r w:rsidRPr="00090340">
                <w:rPr>
                  <w:rStyle w:val="Hyperlink"/>
                  <w:bCs/>
                </w:rPr>
                <w:t>brennan.price@inmarsat.com</w:t>
              </w:r>
            </w:hyperlink>
            <w:r>
              <w:rPr>
                <w:bCs/>
              </w:rPr>
              <w:t xml:space="preserve"> [sic]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+1 703 223-3327</w:t>
            </w:r>
            <w:r w:rsidRPr="00BD3B56">
              <w:rPr>
                <w:bCs/>
              </w:rPr>
              <w:br/>
            </w:r>
          </w:p>
          <w:p w14:paraId="389780E2" w14:textId="5CE9230C" w:rsidR="00ED1934" w:rsidRDefault="00A737D2" w:rsidP="00135491">
            <w:pPr>
              <w:ind w:right="144"/>
              <w:rPr>
                <w:bCs/>
              </w:rPr>
            </w:pPr>
            <w:r>
              <w:rPr>
                <w:bCs/>
              </w:rPr>
              <w:t xml:space="preserve">Email:  </w:t>
            </w:r>
            <w:hyperlink r:id="rId7" w:history="1">
              <w:r w:rsidRPr="001F20CC">
                <w:rPr>
                  <w:rStyle w:val="Hyperlink"/>
                  <w:bCs/>
                </w:rPr>
                <w:t>tatiana.lawrence@iridium.com</w:t>
              </w:r>
            </w:hyperlink>
            <w:r>
              <w:rPr>
                <w:bCs/>
              </w:rPr>
              <w:t xml:space="preserve"> </w:t>
            </w:r>
            <w:r w:rsidR="003939F8" w:rsidRPr="00BD3B56">
              <w:rPr>
                <w:bCs/>
              </w:rPr>
              <w:br/>
              <w:t xml:space="preserve">Phone:  </w:t>
            </w:r>
            <w:r w:rsidR="00441282" w:rsidRPr="00441282">
              <w:rPr>
                <w:bCs/>
              </w:rPr>
              <w:t>+1 240 271</w:t>
            </w:r>
            <w:r w:rsidR="00441282">
              <w:rPr>
                <w:bCs/>
              </w:rPr>
              <w:t>-</w:t>
            </w:r>
            <w:r w:rsidR="00441282" w:rsidRPr="00441282">
              <w:rPr>
                <w:bCs/>
              </w:rPr>
              <w:t>2751</w:t>
            </w:r>
          </w:p>
          <w:p w14:paraId="2F90CF36" w14:textId="77777777" w:rsidR="00ED1934" w:rsidRDefault="00ED1934" w:rsidP="00135491">
            <w:pPr>
              <w:ind w:right="144"/>
              <w:rPr>
                <w:bCs/>
              </w:rPr>
            </w:pPr>
          </w:p>
          <w:p w14:paraId="7C93ED0A" w14:textId="77777777" w:rsidR="00135491" w:rsidRPr="00F022CE" w:rsidRDefault="00135491" w:rsidP="00135491">
            <w:pPr>
              <w:ind w:right="144"/>
              <w:rPr>
                <w:bCs/>
              </w:rPr>
            </w:pPr>
            <w:r w:rsidRPr="00BD3B56">
              <w:rPr>
                <w:bCs/>
              </w:rPr>
              <w:t xml:space="preserve">Email:  </w:t>
            </w:r>
            <w:hyperlink r:id="rId8" w:history="1">
              <w:r w:rsidRPr="001F20CC">
                <w:rPr>
                  <w:rStyle w:val="Hyperlink"/>
                  <w:bCs/>
                </w:rPr>
                <w:t>dladson@hwglaw.com</w:t>
              </w:r>
            </w:hyperlink>
            <w:r>
              <w:rPr>
                <w:bCs/>
              </w:rPr>
              <w:t xml:space="preserve"> </w:t>
            </w:r>
            <w:r w:rsidRPr="00BD3B56">
              <w:rPr>
                <w:bCs/>
              </w:rPr>
              <w:br/>
              <w:t xml:space="preserve">Phone:  </w:t>
            </w:r>
            <w:r>
              <w:rPr>
                <w:bCs/>
              </w:rPr>
              <w:t>+1 202 730-1315</w:t>
            </w:r>
          </w:p>
          <w:p w14:paraId="29A0CE8A" w14:textId="1EDC7525" w:rsidR="00135491" w:rsidRPr="00F022CE" w:rsidRDefault="00135491" w:rsidP="00135491">
            <w:pPr>
              <w:spacing w:after="120"/>
              <w:ind w:right="144"/>
              <w:rPr>
                <w:bCs/>
              </w:rPr>
            </w:pPr>
          </w:p>
        </w:tc>
      </w:tr>
      <w:tr w:rsidR="00647895" w:rsidRPr="00A02BF0" w14:paraId="2CE92B9B" w14:textId="77777777" w:rsidTr="00647895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6F62B56" w14:textId="7F765C26" w:rsidR="00731F24" w:rsidRPr="00E23C33" w:rsidRDefault="00647895" w:rsidP="00647895">
            <w:pPr>
              <w:spacing w:after="120"/>
              <w:ind w:right="144"/>
              <w:rPr>
                <w:bCs/>
              </w:rPr>
            </w:pPr>
            <w:r w:rsidRPr="00A02BF0">
              <w:rPr>
                <w:b/>
              </w:rPr>
              <w:t>Purpose:</w:t>
            </w:r>
            <w:r w:rsidRPr="00A02BF0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BC0D03">
              <w:rPr>
                <w:bCs/>
              </w:rPr>
              <w:t>To initiate</w:t>
            </w:r>
            <w:r w:rsidR="007364A5">
              <w:rPr>
                <w:bCs/>
              </w:rPr>
              <w:t xml:space="preserve"> the studies called for under </w:t>
            </w:r>
            <w:r w:rsidR="00556CE7">
              <w:rPr>
                <w:bCs/>
                <w:i/>
                <w:iCs/>
              </w:rPr>
              <w:t>resolves to invite the ITU Radioc</w:t>
            </w:r>
            <w:r w:rsidR="00222AF0">
              <w:rPr>
                <w:bCs/>
                <w:i/>
                <w:iCs/>
              </w:rPr>
              <w:t>o</w:t>
            </w:r>
            <w:r w:rsidR="00556CE7">
              <w:rPr>
                <w:bCs/>
                <w:i/>
                <w:iCs/>
              </w:rPr>
              <w:t>mmunication Sector</w:t>
            </w:r>
            <w:r w:rsidR="00E23C33">
              <w:rPr>
                <w:bCs/>
              </w:rPr>
              <w:t xml:space="preserve"> 1, 2, and 3 of Resolution 249</w:t>
            </w:r>
          </w:p>
        </w:tc>
      </w:tr>
      <w:tr w:rsidR="00647895" w:rsidRPr="00A02BF0" w14:paraId="4ABEBB1A" w14:textId="77777777" w:rsidTr="00647895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83A96FA" w14:textId="4FD77E05" w:rsidR="00647895" w:rsidRPr="00A02BF0" w:rsidRDefault="00647895" w:rsidP="0064789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spacing w:after="120"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E23C33">
              <w:rPr>
                <w:bCs/>
              </w:rPr>
              <w:t xml:space="preserve">The contribution will </w:t>
            </w:r>
            <w:r w:rsidR="00C369AA">
              <w:rPr>
                <w:bCs/>
              </w:rPr>
              <w:t xml:space="preserve">include a description of the space-to-space operations to be studied, characteristics of incumbent and space-to-space systems, and </w:t>
            </w:r>
            <w:r w:rsidR="00BE72B5">
              <w:rPr>
                <w:bCs/>
              </w:rPr>
              <w:t>a list of relevant existing material.</w:t>
            </w:r>
          </w:p>
        </w:tc>
      </w:tr>
    </w:tbl>
    <w:p w14:paraId="4031A9E1" w14:textId="77777777" w:rsidR="00731F24" w:rsidRDefault="00731F24"/>
    <w:sectPr w:rsidR="00731F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04B90" w14:textId="77777777" w:rsidR="00D73705" w:rsidRDefault="00D73705" w:rsidP="00D73705">
      <w:r>
        <w:separator/>
      </w:r>
    </w:p>
  </w:endnote>
  <w:endnote w:type="continuationSeparator" w:id="0">
    <w:p w14:paraId="33FDD0BD" w14:textId="77777777" w:rsidR="00D73705" w:rsidRDefault="00D73705" w:rsidP="00D73705">
      <w:r>
        <w:continuationSeparator/>
      </w:r>
    </w:p>
  </w:endnote>
  <w:endnote w:type="continuationNotice" w:id="1">
    <w:p w14:paraId="6783A7EB" w14:textId="77777777" w:rsidR="00B35D97" w:rsidRDefault="00B35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FEADD" w14:textId="713506BD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A5085CF" wp14:editId="128365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298741894" name="Text Box 2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A100C" w14:textId="18867F31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5085C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 |  © INMARSAT" style="position:absolute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523A100C" w14:textId="18867F31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3D4CD" w14:textId="027A605B" w:rsidR="009A4969" w:rsidRDefault="009A49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70F3B" w14:textId="5896523A" w:rsidR="009A4969" w:rsidRDefault="00E704A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9DD592F" wp14:editId="616F61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22521460" name="Text Box 1" descr="PUBLIC  |  © INMARSA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D0D096" w14:textId="65DEC7B5" w:rsidR="00E704AE" w:rsidRPr="00E704AE" w:rsidRDefault="00E704AE" w:rsidP="00E704A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E704A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PUBLIC  |  © INMARSAT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D592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PUBLIC  |  © INMARSAT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00D0D096" w14:textId="65DEC7B5" w:rsidR="00E704AE" w:rsidRPr="00E704AE" w:rsidRDefault="00E704AE" w:rsidP="00E704A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E704AE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PUBLIC  |  © INMARSAT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0C7B" w14:textId="77777777" w:rsidR="00D73705" w:rsidRDefault="00D73705" w:rsidP="00D73705">
      <w:r>
        <w:separator/>
      </w:r>
    </w:p>
  </w:footnote>
  <w:footnote w:type="continuationSeparator" w:id="0">
    <w:p w14:paraId="023DCA31" w14:textId="77777777" w:rsidR="00D73705" w:rsidRDefault="00D73705" w:rsidP="00D73705">
      <w:r>
        <w:continuationSeparator/>
      </w:r>
    </w:p>
  </w:footnote>
  <w:footnote w:type="continuationNotice" w:id="1">
    <w:p w14:paraId="757B21A8" w14:textId="77777777" w:rsidR="00B35D97" w:rsidRDefault="00B35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ABF2" w14:textId="77777777" w:rsidR="00E704AE" w:rsidRDefault="00E704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EC3E" w14:textId="77777777" w:rsidR="00E704AE" w:rsidRDefault="00E704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F3F85" w14:textId="77777777" w:rsidR="00E704AE" w:rsidRDefault="00E70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156D3"/>
    <w:rsid w:val="00036BDF"/>
    <w:rsid w:val="000B3C0D"/>
    <w:rsid w:val="00100271"/>
    <w:rsid w:val="00133A8C"/>
    <w:rsid w:val="00135491"/>
    <w:rsid w:val="00150284"/>
    <w:rsid w:val="00222AF0"/>
    <w:rsid w:val="00255F17"/>
    <w:rsid w:val="0026793D"/>
    <w:rsid w:val="002863A5"/>
    <w:rsid w:val="0033069B"/>
    <w:rsid w:val="003478F9"/>
    <w:rsid w:val="003554C2"/>
    <w:rsid w:val="00377072"/>
    <w:rsid w:val="00392B01"/>
    <w:rsid w:val="003939F8"/>
    <w:rsid w:val="004226B8"/>
    <w:rsid w:val="00434A34"/>
    <w:rsid w:val="00441282"/>
    <w:rsid w:val="00455F59"/>
    <w:rsid w:val="005555F3"/>
    <w:rsid w:val="00556CE7"/>
    <w:rsid w:val="005621CA"/>
    <w:rsid w:val="00637C49"/>
    <w:rsid w:val="00647895"/>
    <w:rsid w:val="006F0D14"/>
    <w:rsid w:val="00731F24"/>
    <w:rsid w:val="007364A5"/>
    <w:rsid w:val="00790A03"/>
    <w:rsid w:val="00800A7F"/>
    <w:rsid w:val="008620C3"/>
    <w:rsid w:val="00870D8C"/>
    <w:rsid w:val="008767D8"/>
    <w:rsid w:val="00886CB7"/>
    <w:rsid w:val="008B64BE"/>
    <w:rsid w:val="009100D9"/>
    <w:rsid w:val="009A4969"/>
    <w:rsid w:val="009A7647"/>
    <w:rsid w:val="00A179A6"/>
    <w:rsid w:val="00A737D2"/>
    <w:rsid w:val="00A82FDC"/>
    <w:rsid w:val="00AD3818"/>
    <w:rsid w:val="00B35D97"/>
    <w:rsid w:val="00B55170"/>
    <w:rsid w:val="00B61082"/>
    <w:rsid w:val="00B81383"/>
    <w:rsid w:val="00B86973"/>
    <w:rsid w:val="00BB6FB1"/>
    <w:rsid w:val="00BC0D03"/>
    <w:rsid w:val="00BD3B56"/>
    <w:rsid w:val="00BE72B5"/>
    <w:rsid w:val="00C01580"/>
    <w:rsid w:val="00C369AA"/>
    <w:rsid w:val="00C52078"/>
    <w:rsid w:val="00C67542"/>
    <w:rsid w:val="00C948AD"/>
    <w:rsid w:val="00CD7EF7"/>
    <w:rsid w:val="00D61F42"/>
    <w:rsid w:val="00D73705"/>
    <w:rsid w:val="00D73EC3"/>
    <w:rsid w:val="00E04915"/>
    <w:rsid w:val="00E23C33"/>
    <w:rsid w:val="00E265DC"/>
    <w:rsid w:val="00E704AE"/>
    <w:rsid w:val="00ED1934"/>
    <w:rsid w:val="00F0685D"/>
    <w:rsid w:val="00F4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7699672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D38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dson@hwglaw.com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tatiana.lawrence@iridium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brennan.price@inmarsat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15603bf-d331-4615-a04c-c64506795477}" enabled="1" method="Privileged" siteId="{43eba056-5ca4-4871-89ac-bdd09160ce7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Kathyrn Medley</cp:lastModifiedBy>
  <cp:revision>22</cp:revision>
  <dcterms:created xsi:type="dcterms:W3CDTF">2024-01-26T14:19:00Z</dcterms:created>
  <dcterms:modified xsi:type="dcterms:W3CDTF">2024-01-29T14:15:00Z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13394974,4d693a86,7843fb96</vt:lpwstr>
  </property>
  <property fmtid="{D5CDD505-2E9C-101B-9397-08002B2CF9AE}" pid="3" name="ClassificationContentMarkingFooterFontProps">
    <vt:lpwstr>#000000,7,Calibri</vt:lpwstr>
  </property>
  <property fmtid="{D5CDD505-2E9C-101B-9397-08002B2CF9AE}" pid="4" name="ClassificationContentMarkingFooterText">
    <vt:lpwstr>PUBLIC  |  © INMARSAT</vt:lpwstr>
  </property>
</Properties>
</file>