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6F02" w14:textId="121CBCD3" w:rsidR="00392B01" w:rsidRDefault="00392B01" w:rsidP="00392B01">
      <w:pPr>
        <w:jc w:val="center"/>
      </w:pPr>
    </w:p>
    <w:tbl>
      <w:tblPr>
        <w:tblpPr w:leftFromText="180" w:rightFromText="180" w:vertAnchor="text" w:horzAnchor="margin" w:tblpY="106"/>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647895" w:rsidRPr="00A02BF0" w14:paraId="63DF2D84" w14:textId="77777777" w:rsidTr="0064789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A8B4215" w14:textId="77777777" w:rsidR="00647895" w:rsidRPr="00A02BF0" w:rsidRDefault="00647895" w:rsidP="00647895">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5B72F2F3" w14:textId="77777777" w:rsidR="00647895" w:rsidRPr="00A02BF0" w:rsidRDefault="00647895" w:rsidP="00647895">
            <w:pPr>
              <w:pStyle w:val="TabletitleBR"/>
              <w:rPr>
                <w:spacing w:val="-3"/>
                <w:szCs w:val="24"/>
              </w:rPr>
            </w:pPr>
            <w:r w:rsidRPr="00A02BF0">
              <w:rPr>
                <w:spacing w:val="-3"/>
                <w:szCs w:val="24"/>
              </w:rPr>
              <w:t>Fact Sheet</w:t>
            </w:r>
          </w:p>
        </w:tc>
      </w:tr>
      <w:tr w:rsidR="00647895" w:rsidRPr="00A02BF0" w14:paraId="75E81090" w14:textId="77777777" w:rsidTr="00C948AD">
        <w:trPr>
          <w:trHeight w:val="946"/>
        </w:trPr>
        <w:tc>
          <w:tcPr>
            <w:tcW w:w="4567" w:type="dxa"/>
            <w:tcBorders>
              <w:left w:val="double" w:sz="6" w:space="0" w:color="auto"/>
            </w:tcBorders>
          </w:tcPr>
          <w:p w14:paraId="03E2079C" w14:textId="460D3A1D" w:rsidR="00F0685D" w:rsidRPr="00A02BF0" w:rsidRDefault="00647895" w:rsidP="00C948AD">
            <w:pPr>
              <w:spacing w:after="120"/>
              <w:ind w:right="144"/>
            </w:pPr>
            <w:r w:rsidRPr="00A02BF0">
              <w:rPr>
                <w:b/>
              </w:rPr>
              <w:t>Working Party:</w:t>
            </w:r>
            <w:r w:rsidRPr="00A02BF0">
              <w:t xml:space="preserve">  ITU-R WP </w:t>
            </w:r>
            <w:r>
              <w:t>4</w:t>
            </w:r>
            <w:r w:rsidR="002863A5">
              <w:t>C</w:t>
            </w:r>
          </w:p>
        </w:tc>
        <w:tc>
          <w:tcPr>
            <w:tcW w:w="4826" w:type="dxa"/>
            <w:tcBorders>
              <w:right w:val="double" w:sz="6" w:space="0" w:color="auto"/>
            </w:tcBorders>
          </w:tcPr>
          <w:p w14:paraId="114A994E" w14:textId="406ABFC7" w:rsidR="00647895" w:rsidRPr="00A02BF0" w:rsidRDefault="00647895" w:rsidP="00647895">
            <w:pPr>
              <w:spacing w:after="120"/>
              <w:ind w:right="144"/>
            </w:pPr>
            <w:r w:rsidRPr="00A02BF0">
              <w:rPr>
                <w:b/>
              </w:rPr>
              <w:t>Document No:</w:t>
            </w:r>
            <w:r w:rsidRPr="00A02BF0">
              <w:t xml:space="preserve">  US</w:t>
            </w:r>
            <w:r>
              <w:t>4</w:t>
            </w:r>
            <w:r w:rsidR="00D61F42">
              <w:t>C</w:t>
            </w:r>
            <w:r w:rsidRPr="00A02BF0">
              <w:t>-</w:t>
            </w:r>
            <w:r w:rsidR="006F0D14">
              <w:t>09</w:t>
            </w:r>
          </w:p>
        </w:tc>
      </w:tr>
      <w:tr w:rsidR="00647895" w:rsidRPr="00A02BF0" w14:paraId="4709C7CF" w14:textId="77777777" w:rsidTr="00647895">
        <w:trPr>
          <w:trHeight w:val="378"/>
        </w:trPr>
        <w:tc>
          <w:tcPr>
            <w:tcW w:w="4567" w:type="dxa"/>
            <w:tcBorders>
              <w:left w:val="double" w:sz="6" w:space="0" w:color="auto"/>
            </w:tcBorders>
          </w:tcPr>
          <w:p w14:paraId="62D04C3C" w14:textId="253E2250" w:rsidR="00647895" w:rsidRPr="00A02BF0" w:rsidRDefault="00647895" w:rsidP="00647895">
            <w:pPr>
              <w:spacing w:after="120"/>
              <w:ind w:right="144"/>
            </w:pPr>
            <w:r w:rsidRPr="00A02BF0">
              <w:rPr>
                <w:b/>
              </w:rPr>
              <w:t>Ref:</w:t>
            </w:r>
            <w:r>
              <w:rPr>
                <w:b/>
              </w:rPr>
              <w:t xml:space="preserve">  </w:t>
            </w:r>
            <w:r w:rsidR="0026793D">
              <w:t>Resolution 249 (WRC-23)</w:t>
            </w:r>
          </w:p>
        </w:tc>
        <w:tc>
          <w:tcPr>
            <w:tcW w:w="4826" w:type="dxa"/>
            <w:tcBorders>
              <w:right w:val="double" w:sz="6" w:space="0" w:color="auto"/>
            </w:tcBorders>
          </w:tcPr>
          <w:p w14:paraId="6C099799" w14:textId="7D364E59" w:rsidR="00647895" w:rsidRPr="00A02BF0" w:rsidRDefault="00647895" w:rsidP="00647895">
            <w:pPr>
              <w:tabs>
                <w:tab w:val="left" w:pos="162"/>
              </w:tabs>
              <w:spacing w:after="120"/>
              <w:ind w:right="144"/>
            </w:pPr>
            <w:r w:rsidRPr="00A02BF0">
              <w:rPr>
                <w:b/>
              </w:rPr>
              <w:t>Date:</w:t>
            </w:r>
            <w:r w:rsidRPr="00A02BF0">
              <w:t xml:space="preserve">  </w:t>
            </w:r>
            <w:r w:rsidR="00A758DD">
              <w:t>23 February</w:t>
            </w:r>
            <w:r>
              <w:t xml:space="preserve"> 2024</w:t>
            </w:r>
          </w:p>
        </w:tc>
      </w:tr>
      <w:tr w:rsidR="00647895" w:rsidRPr="00A02BF0" w14:paraId="7728F6DA" w14:textId="77777777" w:rsidTr="00647895">
        <w:trPr>
          <w:trHeight w:val="459"/>
        </w:trPr>
        <w:tc>
          <w:tcPr>
            <w:tcW w:w="9393" w:type="dxa"/>
            <w:gridSpan w:val="2"/>
            <w:tcBorders>
              <w:left w:val="double" w:sz="6" w:space="0" w:color="auto"/>
              <w:right w:val="double" w:sz="6" w:space="0" w:color="auto"/>
            </w:tcBorders>
          </w:tcPr>
          <w:p w14:paraId="5D433A85" w14:textId="6E10E949" w:rsidR="00647895" w:rsidRPr="00F467AC" w:rsidRDefault="00647895" w:rsidP="00647895">
            <w:pPr>
              <w:pStyle w:val="Heading2"/>
              <w:spacing w:before="0" w:after="120"/>
              <w:ind w:left="0" w:firstLine="0"/>
              <w:rPr>
                <w:b w:val="0"/>
                <w:lang w:eastAsia="zh-CN"/>
              </w:rPr>
            </w:pPr>
            <w:r>
              <w:rPr>
                <w:bCs/>
                <w:szCs w:val="24"/>
              </w:rPr>
              <w:t xml:space="preserve">Document Title:  </w:t>
            </w:r>
            <w:r w:rsidR="0026793D">
              <w:rPr>
                <w:b w:val="0"/>
                <w:lang w:eastAsia="zh-CN"/>
              </w:rPr>
              <w:t xml:space="preserve">Working Document </w:t>
            </w:r>
            <w:r w:rsidR="00C10334">
              <w:rPr>
                <w:b w:val="0"/>
                <w:lang w:eastAsia="zh-CN"/>
              </w:rPr>
              <w:t>Regarding WRC-27 Agenda Item 1.11</w:t>
            </w:r>
          </w:p>
        </w:tc>
      </w:tr>
      <w:tr w:rsidR="00135491" w:rsidRPr="00A02BF0" w14:paraId="19204B51" w14:textId="77777777" w:rsidTr="00647895">
        <w:trPr>
          <w:trHeight w:val="1960"/>
        </w:trPr>
        <w:tc>
          <w:tcPr>
            <w:tcW w:w="4567" w:type="dxa"/>
            <w:tcBorders>
              <w:left w:val="double" w:sz="6" w:space="0" w:color="auto"/>
            </w:tcBorders>
          </w:tcPr>
          <w:p w14:paraId="4723FC51" w14:textId="77777777" w:rsidR="00135491" w:rsidRPr="00A02BF0" w:rsidRDefault="00135491" w:rsidP="00135491">
            <w:pPr>
              <w:spacing w:after="120"/>
              <w:ind w:right="144"/>
              <w:rPr>
                <w:b/>
              </w:rPr>
            </w:pPr>
            <w:r w:rsidRPr="00A02BF0">
              <w:rPr>
                <w:b/>
              </w:rPr>
              <w:t>Author(s)/Contributors(s):</w:t>
            </w:r>
          </w:p>
          <w:p w14:paraId="4A938777" w14:textId="77777777" w:rsidR="00135491" w:rsidRDefault="00135491" w:rsidP="00135491">
            <w:pPr>
              <w:ind w:left="144" w:right="144"/>
              <w:rPr>
                <w:bCs/>
                <w:iCs/>
              </w:rPr>
            </w:pPr>
            <w:r>
              <w:rPr>
                <w:bCs/>
                <w:iCs/>
              </w:rPr>
              <w:t>Brennan Price</w:t>
            </w:r>
          </w:p>
          <w:p w14:paraId="18C0CA7B" w14:textId="77777777" w:rsidR="00135491" w:rsidRDefault="00135491" w:rsidP="00135491">
            <w:pPr>
              <w:ind w:left="144" w:right="144"/>
              <w:rPr>
                <w:bCs/>
                <w:iCs/>
              </w:rPr>
            </w:pPr>
            <w:r>
              <w:rPr>
                <w:bCs/>
                <w:iCs/>
              </w:rPr>
              <w:t>Viasat</w:t>
            </w:r>
          </w:p>
          <w:p w14:paraId="19075928" w14:textId="77777777" w:rsidR="003939F8" w:rsidRDefault="003939F8" w:rsidP="003939F8">
            <w:pPr>
              <w:ind w:left="144" w:right="144"/>
              <w:rPr>
                <w:bCs/>
                <w:iCs/>
              </w:rPr>
            </w:pPr>
          </w:p>
          <w:p w14:paraId="04F2E7EC" w14:textId="7C79D4C0" w:rsidR="003939F8" w:rsidRDefault="003939F8" w:rsidP="003939F8">
            <w:pPr>
              <w:ind w:left="144" w:right="144"/>
              <w:rPr>
                <w:bCs/>
                <w:iCs/>
              </w:rPr>
            </w:pPr>
            <w:r>
              <w:rPr>
                <w:bCs/>
                <w:iCs/>
              </w:rPr>
              <w:t>Tatiana Lawrence</w:t>
            </w:r>
          </w:p>
          <w:p w14:paraId="75B80400" w14:textId="233EDD61" w:rsidR="003939F8" w:rsidRDefault="003939F8" w:rsidP="003939F8">
            <w:pPr>
              <w:ind w:left="144" w:right="144"/>
              <w:rPr>
                <w:bCs/>
                <w:iCs/>
              </w:rPr>
            </w:pPr>
            <w:r>
              <w:rPr>
                <w:bCs/>
                <w:iCs/>
              </w:rPr>
              <w:t>Iridium</w:t>
            </w:r>
          </w:p>
          <w:p w14:paraId="08BFE9AD" w14:textId="77777777" w:rsidR="003939F8" w:rsidRDefault="003939F8" w:rsidP="00135491">
            <w:pPr>
              <w:ind w:left="144" w:right="144"/>
              <w:rPr>
                <w:bCs/>
                <w:iCs/>
              </w:rPr>
            </w:pPr>
          </w:p>
          <w:p w14:paraId="12308511" w14:textId="01A742F2" w:rsidR="00135491" w:rsidRDefault="00135491" w:rsidP="00135491">
            <w:pPr>
              <w:ind w:left="144" w:right="144"/>
              <w:rPr>
                <w:bCs/>
                <w:iCs/>
              </w:rPr>
            </w:pPr>
            <w:r>
              <w:rPr>
                <w:bCs/>
                <w:iCs/>
              </w:rPr>
              <w:t>Damon Ladson</w:t>
            </w:r>
          </w:p>
          <w:p w14:paraId="6A6D8A5B" w14:textId="77777777" w:rsidR="00135491" w:rsidRDefault="00135491" w:rsidP="00135491">
            <w:pPr>
              <w:ind w:left="144" w:right="144"/>
              <w:rPr>
                <w:bCs/>
                <w:iCs/>
              </w:rPr>
            </w:pPr>
            <w:r>
              <w:rPr>
                <w:bCs/>
                <w:iCs/>
              </w:rPr>
              <w:t>HWG LLP for Iridium</w:t>
            </w:r>
          </w:p>
          <w:p w14:paraId="30AFEB4B" w14:textId="77777777" w:rsidR="00493A73" w:rsidRDefault="00493A73" w:rsidP="00135491">
            <w:pPr>
              <w:ind w:left="144" w:right="144"/>
              <w:rPr>
                <w:bCs/>
                <w:iCs/>
              </w:rPr>
            </w:pPr>
          </w:p>
          <w:p w14:paraId="764636BF" w14:textId="659877C8" w:rsidR="00493A73" w:rsidRDefault="00493A73" w:rsidP="00135491">
            <w:pPr>
              <w:ind w:left="144" w:right="144"/>
              <w:rPr>
                <w:bCs/>
                <w:iCs/>
              </w:rPr>
            </w:pPr>
            <w:r>
              <w:rPr>
                <w:bCs/>
                <w:iCs/>
              </w:rPr>
              <w:t>Wayne Whyte</w:t>
            </w:r>
          </w:p>
          <w:p w14:paraId="7292D0FF" w14:textId="3DF846A3" w:rsidR="00493A73" w:rsidRDefault="001537E1" w:rsidP="00135491">
            <w:pPr>
              <w:ind w:left="144" w:right="144"/>
              <w:rPr>
                <w:bCs/>
                <w:iCs/>
              </w:rPr>
            </w:pPr>
            <w:proofErr w:type="spellStart"/>
            <w:r>
              <w:rPr>
                <w:bCs/>
                <w:iCs/>
              </w:rPr>
              <w:t>Teltrium</w:t>
            </w:r>
            <w:proofErr w:type="spellEnd"/>
            <w:r>
              <w:rPr>
                <w:bCs/>
                <w:iCs/>
              </w:rPr>
              <w:t xml:space="preserve"> for NASA</w:t>
            </w:r>
          </w:p>
          <w:p w14:paraId="21DF57B7" w14:textId="09CDBD41" w:rsidR="00ED1934" w:rsidRDefault="00ED1934" w:rsidP="00ED1934">
            <w:pPr>
              <w:spacing w:after="120"/>
              <w:ind w:right="144"/>
              <w:rPr>
                <w:bCs/>
                <w:iCs/>
              </w:rPr>
            </w:pPr>
          </w:p>
          <w:p w14:paraId="3D2C8736" w14:textId="794CDABE" w:rsidR="00135491" w:rsidRPr="00A02BF0" w:rsidRDefault="00135491" w:rsidP="00135491">
            <w:pPr>
              <w:spacing w:after="120"/>
              <w:ind w:left="144" w:right="144"/>
              <w:rPr>
                <w:bCs/>
                <w:iCs/>
              </w:rPr>
            </w:pPr>
          </w:p>
        </w:tc>
        <w:tc>
          <w:tcPr>
            <w:tcW w:w="4826" w:type="dxa"/>
            <w:tcBorders>
              <w:right w:val="double" w:sz="6" w:space="0" w:color="auto"/>
            </w:tcBorders>
          </w:tcPr>
          <w:p w14:paraId="4A24AC2E" w14:textId="77777777" w:rsidR="00135491" w:rsidRDefault="00135491" w:rsidP="00135491">
            <w:pPr>
              <w:spacing w:after="120"/>
              <w:ind w:right="144"/>
              <w:rPr>
                <w:b/>
                <w:bCs/>
              </w:rPr>
            </w:pPr>
          </w:p>
          <w:p w14:paraId="7BEE35D3" w14:textId="77777777" w:rsidR="00135491" w:rsidRDefault="00135491" w:rsidP="00135491">
            <w:pPr>
              <w:ind w:right="144"/>
              <w:rPr>
                <w:bCs/>
              </w:rPr>
            </w:pPr>
            <w:r w:rsidRPr="00BD3B56">
              <w:rPr>
                <w:bCs/>
              </w:rPr>
              <w:t xml:space="preserve">Email:  </w:t>
            </w:r>
            <w:hyperlink r:id="rId6" w:history="1">
              <w:r w:rsidRPr="00090340">
                <w:rPr>
                  <w:rStyle w:val="Hyperlink"/>
                  <w:bCs/>
                </w:rPr>
                <w:t>brennan.price@inmarsat.com</w:t>
              </w:r>
            </w:hyperlink>
            <w:r>
              <w:rPr>
                <w:bCs/>
              </w:rPr>
              <w:t xml:space="preserve"> [sic]</w:t>
            </w:r>
            <w:r w:rsidRPr="00BD3B56">
              <w:rPr>
                <w:bCs/>
              </w:rPr>
              <w:br/>
              <w:t xml:space="preserve">Phone:  </w:t>
            </w:r>
            <w:r>
              <w:rPr>
                <w:bCs/>
              </w:rPr>
              <w:t>+1 703 223-3327</w:t>
            </w:r>
            <w:r w:rsidRPr="00BD3B56">
              <w:rPr>
                <w:bCs/>
              </w:rPr>
              <w:br/>
            </w:r>
          </w:p>
          <w:p w14:paraId="389780E2" w14:textId="5CE9230C" w:rsidR="00ED1934" w:rsidRDefault="00A737D2" w:rsidP="00135491">
            <w:pPr>
              <w:ind w:right="144"/>
              <w:rPr>
                <w:bCs/>
              </w:rPr>
            </w:pPr>
            <w:r>
              <w:rPr>
                <w:bCs/>
              </w:rPr>
              <w:t xml:space="preserve">Email:  </w:t>
            </w:r>
            <w:hyperlink r:id="rId7" w:history="1">
              <w:r w:rsidRPr="001F20CC">
                <w:rPr>
                  <w:rStyle w:val="Hyperlink"/>
                  <w:bCs/>
                </w:rPr>
                <w:t>tatiana.lawrence@iridium.com</w:t>
              </w:r>
            </w:hyperlink>
            <w:r>
              <w:rPr>
                <w:bCs/>
              </w:rPr>
              <w:t xml:space="preserve"> </w:t>
            </w:r>
            <w:r w:rsidR="003939F8" w:rsidRPr="00BD3B56">
              <w:rPr>
                <w:bCs/>
              </w:rPr>
              <w:br/>
              <w:t xml:space="preserve">Phone:  </w:t>
            </w:r>
            <w:r w:rsidR="00441282" w:rsidRPr="00441282">
              <w:rPr>
                <w:bCs/>
              </w:rPr>
              <w:t>+1 240 271</w:t>
            </w:r>
            <w:r w:rsidR="00441282">
              <w:rPr>
                <w:bCs/>
              </w:rPr>
              <w:t>-</w:t>
            </w:r>
            <w:r w:rsidR="00441282" w:rsidRPr="00441282">
              <w:rPr>
                <w:bCs/>
              </w:rPr>
              <w:t>2751</w:t>
            </w:r>
          </w:p>
          <w:p w14:paraId="2F90CF36" w14:textId="77777777" w:rsidR="00ED1934" w:rsidRDefault="00ED1934" w:rsidP="00135491">
            <w:pPr>
              <w:ind w:right="144"/>
              <w:rPr>
                <w:bCs/>
              </w:rPr>
            </w:pPr>
          </w:p>
          <w:p w14:paraId="7C93ED0A" w14:textId="77777777" w:rsidR="00135491" w:rsidRPr="00F022CE" w:rsidRDefault="00135491" w:rsidP="00135491">
            <w:pPr>
              <w:ind w:right="144"/>
              <w:rPr>
                <w:bCs/>
              </w:rPr>
            </w:pPr>
            <w:r w:rsidRPr="00BD3B56">
              <w:rPr>
                <w:bCs/>
              </w:rPr>
              <w:t xml:space="preserve">Email:  </w:t>
            </w:r>
            <w:hyperlink r:id="rId8" w:history="1">
              <w:r w:rsidRPr="001F20CC">
                <w:rPr>
                  <w:rStyle w:val="Hyperlink"/>
                  <w:bCs/>
                </w:rPr>
                <w:t>dladson@hwglaw.com</w:t>
              </w:r>
            </w:hyperlink>
            <w:r>
              <w:rPr>
                <w:bCs/>
              </w:rPr>
              <w:t xml:space="preserve"> </w:t>
            </w:r>
            <w:r w:rsidRPr="00BD3B56">
              <w:rPr>
                <w:bCs/>
              </w:rPr>
              <w:br/>
              <w:t xml:space="preserve">Phone:  </w:t>
            </w:r>
            <w:r>
              <w:rPr>
                <w:bCs/>
              </w:rPr>
              <w:t>+1 202 730-1315</w:t>
            </w:r>
          </w:p>
          <w:p w14:paraId="6D7E6BAD" w14:textId="77777777" w:rsidR="00201AEF" w:rsidRDefault="00201AEF" w:rsidP="00201AEF">
            <w:pPr>
              <w:ind w:right="144"/>
              <w:rPr>
                <w:bCs/>
              </w:rPr>
            </w:pPr>
          </w:p>
          <w:p w14:paraId="25F5C1A3" w14:textId="2D6E58D1" w:rsidR="00201AEF" w:rsidRPr="00F022CE" w:rsidRDefault="00201AEF" w:rsidP="00201AEF">
            <w:pPr>
              <w:ind w:right="144"/>
              <w:rPr>
                <w:bCs/>
              </w:rPr>
            </w:pPr>
            <w:r w:rsidRPr="00BD3B56">
              <w:rPr>
                <w:bCs/>
              </w:rPr>
              <w:t xml:space="preserve">Email:  </w:t>
            </w:r>
            <w:hyperlink r:id="rId9" w:history="1">
              <w:r w:rsidR="00E72719" w:rsidRPr="00F919BB">
                <w:rPr>
                  <w:rStyle w:val="Hyperlink"/>
                  <w:bCs/>
                </w:rPr>
                <w:t>wwhyte@teltrium.com</w:t>
              </w:r>
            </w:hyperlink>
            <w:r>
              <w:rPr>
                <w:bCs/>
              </w:rPr>
              <w:t xml:space="preserve"> </w:t>
            </w:r>
            <w:r w:rsidRPr="00BD3B56">
              <w:rPr>
                <w:bCs/>
              </w:rPr>
              <w:br/>
              <w:t xml:space="preserve">Phone:  </w:t>
            </w:r>
            <w:r>
              <w:rPr>
                <w:bCs/>
              </w:rPr>
              <w:t xml:space="preserve">+1 </w:t>
            </w:r>
            <w:r w:rsidR="00E72719" w:rsidRPr="00E72719">
              <w:rPr>
                <w:bCs/>
              </w:rPr>
              <w:t>202</w:t>
            </w:r>
            <w:r w:rsidR="00E72719">
              <w:rPr>
                <w:bCs/>
              </w:rPr>
              <w:t xml:space="preserve"> </w:t>
            </w:r>
            <w:r w:rsidR="00E72719" w:rsidRPr="00E72719">
              <w:rPr>
                <w:bCs/>
              </w:rPr>
              <w:t>448-5040</w:t>
            </w:r>
            <w:r w:rsidR="00E72719">
              <w:rPr>
                <w:bCs/>
              </w:rPr>
              <w:t xml:space="preserve"> x809</w:t>
            </w:r>
          </w:p>
          <w:p w14:paraId="29A0CE8A" w14:textId="35A3F1C2" w:rsidR="00201AEF" w:rsidRPr="00F022CE" w:rsidRDefault="00201AEF" w:rsidP="00135491">
            <w:pPr>
              <w:spacing w:after="120"/>
              <w:ind w:right="144"/>
              <w:rPr>
                <w:bCs/>
              </w:rPr>
            </w:pPr>
          </w:p>
        </w:tc>
      </w:tr>
      <w:tr w:rsidR="00647895" w:rsidRPr="00A02BF0" w14:paraId="2CE92B9B" w14:textId="77777777" w:rsidTr="00647895">
        <w:trPr>
          <w:trHeight w:val="541"/>
        </w:trPr>
        <w:tc>
          <w:tcPr>
            <w:tcW w:w="9393" w:type="dxa"/>
            <w:gridSpan w:val="2"/>
            <w:tcBorders>
              <w:left w:val="double" w:sz="6" w:space="0" w:color="auto"/>
              <w:right w:val="double" w:sz="6" w:space="0" w:color="auto"/>
            </w:tcBorders>
          </w:tcPr>
          <w:p w14:paraId="06F62B56" w14:textId="7F765C26" w:rsidR="00731F24" w:rsidRPr="00E23C33" w:rsidRDefault="00647895" w:rsidP="00647895">
            <w:pPr>
              <w:spacing w:after="120"/>
              <w:ind w:right="144"/>
              <w:rPr>
                <w:bCs/>
              </w:rPr>
            </w:pPr>
            <w:r w:rsidRPr="00A02BF0">
              <w:rPr>
                <w:b/>
              </w:rPr>
              <w:t>Purpose:</w:t>
            </w:r>
            <w:r w:rsidRPr="00A02BF0">
              <w:rPr>
                <w:bCs/>
              </w:rPr>
              <w:t xml:space="preserve"> </w:t>
            </w:r>
            <w:r>
              <w:rPr>
                <w:bCs/>
              </w:rPr>
              <w:t xml:space="preserve"> </w:t>
            </w:r>
            <w:r w:rsidR="00BC0D03">
              <w:rPr>
                <w:bCs/>
              </w:rPr>
              <w:t>To initiate</w:t>
            </w:r>
            <w:r w:rsidR="007364A5">
              <w:rPr>
                <w:bCs/>
              </w:rPr>
              <w:t xml:space="preserve"> the studies called for under </w:t>
            </w:r>
            <w:r w:rsidR="00556CE7">
              <w:rPr>
                <w:bCs/>
                <w:i/>
                <w:iCs/>
              </w:rPr>
              <w:t>resolves to invite the ITU Radioc</w:t>
            </w:r>
            <w:r w:rsidR="00222AF0">
              <w:rPr>
                <w:bCs/>
                <w:i/>
                <w:iCs/>
              </w:rPr>
              <w:t>o</w:t>
            </w:r>
            <w:r w:rsidR="00556CE7">
              <w:rPr>
                <w:bCs/>
                <w:i/>
                <w:iCs/>
              </w:rPr>
              <w:t>mmunication Sector</w:t>
            </w:r>
            <w:r w:rsidR="00E23C33">
              <w:rPr>
                <w:bCs/>
              </w:rPr>
              <w:t xml:space="preserve"> 1, 2, and 3 of Resolution 249</w:t>
            </w:r>
          </w:p>
        </w:tc>
      </w:tr>
      <w:tr w:rsidR="00647895" w:rsidRPr="00A02BF0" w14:paraId="4ABEBB1A" w14:textId="77777777" w:rsidTr="00647895">
        <w:trPr>
          <w:trHeight w:val="1380"/>
        </w:trPr>
        <w:tc>
          <w:tcPr>
            <w:tcW w:w="9393" w:type="dxa"/>
            <w:gridSpan w:val="2"/>
            <w:tcBorders>
              <w:left w:val="double" w:sz="6" w:space="0" w:color="auto"/>
              <w:bottom w:val="single" w:sz="12" w:space="0" w:color="auto"/>
              <w:right w:val="double" w:sz="6" w:space="0" w:color="auto"/>
            </w:tcBorders>
          </w:tcPr>
          <w:p w14:paraId="083A96FA" w14:textId="4FD77E05" w:rsidR="00647895" w:rsidRPr="00A02BF0" w:rsidRDefault="00647895" w:rsidP="00647895">
            <w:pPr>
              <w:tabs>
                <w:tab w:val="left" w:pos="794"/>
                <w:tab w:val="left" w:pos="1191"/>
                <w:tab w:val="left" w:pos="1588"/>
                <w:tab w:val="left" w:pos="1985"/>
              </w:tabs>
              <w:suppressAutoHyphens/>
              <w:spacing w:after="120"/>
              <w:rPr>
                <w:bCs/>
              </w:rPr>
            </w:pPr>
            <w:r w:rsidRPr="00A02BF0">
              <w:rPr>
                <w:b/>
              </w:rPr>
              <w:t>Abstract:</w:t>
            </w:r>
            <w:r w:rsidRPr="00A02BF0">
              <w:rPr>
                <w:bCs/>
              </w:rPr>
              <w:t xml:space="preserve">  </w:t>
            </w:r>
            <w:r w:rsidR="00E23C33">
              <w:rPr>
                <w:bCs/>
              </w:rPr>
              <w:t xml:space="preserve">The contribution will </w:t>
            </w:r>
            <w:r w:rsidR="00C369AA">
              <w:rPr>
                <w:bCs/>
              </w:rPr>
              <w:t xml:space="preserve">include a description of the space-to-space operations to be studied, characteristics of incumbent and space-to-space systems, and </w:t>
            </w:r>
            <w:r w:rsidR="00BE72B5">
              <w:rPr>
                <w:bCs/>
              </w:rPr>
              <w:t>a list of relevant existing material.</w:t>
            </w:r>
          </w:p>
        </w:tc>
      </w:tr>
    </w:tbl>
    <w:p w14:paraId="4031A9E1" w14:textId="7B4244E5" w:rsidR="00506113" w:rsidRDefault="00506113"/>
    <w:p w14:paraId="3859EEEB" w14:textId="77777777" w:rsidR="00506113" w:rsidRDefault="00506113">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26B2F" w:rsidRPr="00CA57DB" w14:paraId="2D2D2A40" w14:textId="77777777" w:rsidTr="00147AA9">
        <w:trPr>
          <w:cantSplit/>
        </w:trPr>
        <w:tc>
          <w:tcPr>
            <w:tcW w:w="6487" w:type="dxa"/>
            <w:vAlign w:val="center"/>
          </w:tcPr>
          <w:p w14:paraId="2861688C" w14:textId="77777777" w:rsidR="00C26B2F" w:rsidRPr="00CA57DB" w:rsidRDefault="00C26B2F" w:rsidP="00147AA9">
            <w:pPr>
              <w:shd w:val="solid" w:color="FFFFFF" w:fill="FFFFFF"/>
              <w:tabs>
                <w:tab w:val="left" w:pos="1134"/>
                <w:tab w:val="left" w:pos="1871"/>
                <w:tab w:val="left" w:pos="2268"/>
              </w:tabs>
              <w:overflowPunct w:val="0"/>
              <w:autoSpaceDE w:val="0"/>
              <w:autoSpaceDN w:val="0"/>
              <w:adjustRightInd w:val="0"/>
              <w:textAlignment w:val="baseline"/>
              <w:rPr>
                <w:rFonts w:ascii="Verdana" w:hAnsi="Verdana" w:cs="Times New Roman Bold"/>
                <w:b/>
                <w:bCs/>
                <w:sz w:val="26"/>
                <w:szCs w:val="26"/>
                <w:lang w:val="en-GB"/>
              </w:rPr>
            </w:pPr>
            <w:r w:rsidRPr="00CA57DB">
              <w:rPr>
                <w:rFonts w:ascii="Verdana" w:hAnsi="Verdana" w:cs="Times New Roman Bold"/>
                <w:b/>
                <w:bCs/>
                <w:sz w:val="26"/>
                <w:szCs w:val="26"/>
                <w:lang w:val="en-GB"/>
              </w:rPr>
              <w:lastRenderedPageBreak/>
              <w:t>Radiocommunication Study Groups</w:t>
            </w:r>
          </w:p>
        </w:tc>
        <w:tc>
          <w:tcPr>
            <w:tcW w:w="3402" w:type="dxa"/>
          </w:tcPr>
          <w:p w14:paraId="3BF47B5B" w14:textId="77777777" w:rsidR="00C26B2F" w:rsidRPr="00CA57DB" w:rsidRDefault="00C26B2F" w:rsidP="00147AA9">
            <w:pPr>
              <w:shd w:val="solid" w:color="FFFFFF" w:fill="FFFFFF"/>
              <w:tabs>
                <w:tab w:val="left" w:pos="1134"/>
                <w:tab w:val="left" w:pos="1871"/>
                <w:tab w:val="left" w:pos="2268"/>
              </w:tabs>
              <w:overflowPunct w:val="0"/>
              <w:autoSpaceDE w:val="0"/>
              <w:autoSpaceDN w:val="0"/>
              <w:adjustRightInd w:val="0"/>
              <w:spacing w:line="240" w:lineRule="atLeast"/>
              <w:textAlignment w:val="baseline"/>
              <w:rPr>
                <w:szCs w:val="20"/>
                <w:lang w:val="en-GB"/>
              </w:rPr>
            </w:pPr>
            <w:bookmarkStart w:id="0" w:name="ditulogo"/>
            <w:bookmarkEnd w:id="0"/>
            <w:r w:rsidRPr="00CA57DB">
              <w:rPr>
                <w:noProof/>
                <w:szCs w:val="20"/>
              </w:rPr>
              <w:drawing>
                <wp:inline distT="0" distB="0" distL="0" distR="0" wp14:anchorId="20FE9DE5" wp14:editId="0DB55490">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26B2F" w:rsidRPr="00CA57DB" w14:paraId="305DE2A2" w14:textId="77777777" w:rsidTr="00147AA9">
        <w:trPr>
          <w:cantSplit/>
        </w:trPr>
        <w:tc>
          <w:tcPr>
            <w:tcW w:w="6487" w:type="dxa"/>
            <w:tcBorders>
              <w:bottom w:val="single" w:sz="12" w:space="0" w:color="auto"/>
            </w:tcBorders>
          </w:tcPr>
          <w:p w14:paraId="38BAAB13" w14:textId="77777777" w:rsidR="00C26B2F" w:rsidRPr="00CA57DB" w:rsidRDefault="00C26B2F" w:rsidP="00147AA9">
            <w:pPr>
              <w:shd w:val="solid" w:color="FFFFFF" w:fill="FFFFFF"/>
              <w:tabs>
                <w:tab w:val="left" w:pos="1134"/>
                <w:tab w:val="left" w:pos="1871"/>
                <w:tab w:val="left" w:pos="2268"/>
              </w:tabs>
              <w:overflowPunct w:val="0"/>
              <w:autoSpaceDE w:val="0"/>
              <w:autoSpaceDN w:val="0"/>
              <w:adjustRightInd w:val="0"/>
              <w:spacing w:after="48"/>
              <w:textAlignment w:val="baseline"/>
              <w:rPr>
                <w:rFonts w:ascii="Verdana" w:hAnsi="Verdana" w:cs="Times New Roman Bold"/>
                <w:b/>
                <w:sz w:val="22"/>
                <w:szCs w:val="22"/>
                <w:lang w:val="en-GB"/>
              </w:rPr>
            </w:pPr>
          </w:p>
        </w:tc>
        <w:tc>
          <w:tcPr>
            <w:tcW w:w="3402" w:type="dxa"/>
            <w:tcBorders>
              <w:bottom w:val="single" w:sz="12" w:space="0" w:color="auto"/>
            </w:tcBorders>
          </w:tcPr>
          <w:p w14:paraId="6C41B8DD" w14:textId="77777777" w:rsidR="00C26B2F" w:rsidRPr="00CA57DB" w:rsidRDefault="00C26B2F" w:rsidP="00147AA9">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sz w:val="22"/>
                <w:szCs w:val="22"/>
              </w:rPr>
            </w:pPr>
          </w:p>
        </w:tc>
      </w:tr>
      <w:tr w:rsidR="00C26B2F" w:rsidRPr="00CA57DB" w14:paraId="28298217" w14:textId="77777777" w:rsidTr="00147AA9">
        <w:trPr>
          <w:cantSplit/>
        </w:trPr>
        <w:tc>
          <w:tcPr>
            <w:tcW w:w="6487" w:type="dxa"/>
            <w:tcBorders>
              <w:top w:val="single" w:sz="12" w:space="0" w:color="auto"/>
            </w:tcBorders>
          </w:tcPr>
          <w:p w14:paraId="1CCC2D81" w14:textId="77777777" w:rsidR="00C26B2F" w:rsidRPr="00CA57DB" w:rsidRDefault="00C26B2F" w:rsidP="00147AA9">
            <w:pPr>
              <w:shd w:val="solid" w:color="FFFFFF" w:fill="FFFFFF"/>
              <w:tabs>
                <w:tab w:val="left" w:pos="1134"/>
                <w:tab w:val="left" w:pos="1871"/>
                <w:tab w:val="left" w:pos="2268"/>
              </w:tabs>
              <w:overflowPunct w:val="0"/>
              <w:autoSpaceDE w:val="0"/>
              <w:autoSpaceDN w:val="0"/>
              <w:adjustRightInd w:val="0"/>
              <w:spacing w:after="48"/>
              <w:textAlignment w:val="baseline"/>
              <w:rPr>
                <w:rFonts w:ascii="Verdana" w:hAnsi="Verdana" w:cs="Times New Roman Bold"/>
                <w:bCs/>
                <w:sz w:val="22"/>
                <w:szCs w:val="22"/>
                <w:lang w:val="en-GB"/>
              </w:rPr>
            </w:pPr>
          </w:p>
        </w:tc>
        <w:tc>
          <w:tcPr>
            <w:tcW w:w="3402" w:type="dxa"/>
            <w:tcBorders>
              <w:top w:val="single" w:sz="12" w:space="0" w:color="auto"/>
            </w:tcBorders>
          </w:tcPr>
          <w:p w14:paraId="5FFA80BB" w14:textId="77777777" w:rsidR="00C26B2F" w:rsidRPr="00CA57DB" w:rsidRDefault="00C26B2F" w:rsidP="00147AA9">
            <w:pPr>
              <w:shd w:val="solid" w:color="FFFFFF" w:fill="FFFFFF"/>
              <w:tabs>
                <w:tab w:val="left" w:pos="1134"/>
                <w:tab w:val="left" w:pos="1871"/>
                <w:tab w:val="left" w:pos="2268"/>
              </w:tabs>
              <w:overflowPunct w:val="0"/>
              <w:autoSpaceDE w:val="0"/>
              <w:autoSpaceDN w:val="0"/>
              <w:adjustRightInd w:val="0"/>
              <w:spacing w:after="48" w:line="240" w:lineRule="atLeast"/>
              <w:textAlignment w:val="baseline"/>
              <w:rPr>
                <w:szCs w:val="20"/>
              </w:rPr>
            </w:pPr>
          </w:p>
        </w:tc>
      </w:tr>
      <w:tr w:rsidR="00C26B2F" w:rsidRPr="00CA57DB" w14:paraId="57257858" w14:textId="77777777" w:rsidTr="00147AA9">
        <w:trPr>
          <w:cantSplit/>
        </w:trPr>
        <w:tc>
          <w:tcPr>
            <w:tcW w:w="6487" w:type="dxa"/>
            <w:vMerge w:val="restart"/>
          </w:tcPr>
          <w:p w14:paraId="5B70855E" w14:textId="77777777" w:rsidR="00C26B2F" w:rsidRPr="00CA57DB" w:rsidRDefault="00C26B2F" w:rsidP="00147AA9">
            <w:pPr>
              <w:shd w:val="solid" w:color="FFFFFF" w:fill="FFFFFF"/>
              <w:overflowPunct w:val="0"/>
              <w:autoSpaceDE w:val="0"/>
              <w:autoSpaceDN w:val="0"/>
              <w:adjustRightInd w:val="0"/>
              <w:spacing w:after="240"/>
              <w:ind w:left="1134" w:hanging="1134"/>
              <w:textAlignment w:val="baseline"/>
              <w:rPr>
                <w:rFonts w:ascii="Verdana" w:hAnsi="Verdana"/>
                <w:sz w:val="20"/>
                <w:szCs w:val="20"/>
                <w:lang w:val="en-GB"/>
              </w:rPr>
            </w:pPr>
            <w:bookmarkStart w:id="1" w:name="recibido"/>
            <w:bookmarkStart w:id="2" w:name="dnum" w:colFirst="1" w:colLast="1"/>
            <w:bookmarkEnd w:id="1"/>
            <w:r w:rsidRPr="00CA57DB">
              <w:rPr>
                <w:rFonts w:ascii="Verdana" w:hAnsi="Verdana"/>
                <w:sz w:val="20"/>
                <w:szCs w:val="20"/>
                <w:lang w:val="en-GB"/>
              </w:rPr>
              <w:t>Received:</w:t>
            </w:r>
            <w:r w:rsidRPr="00CA57DB">
              <w:rPr>
                <w:rFonts w:ascii="Verdana" w:hAnsi="Verdana"/>
                <w:sz w:val="20"/>
                <w:szCs w:val="20"/>
                <w:lang w:val="en-GB"/>
              </w:rPr>
              <w:tab/>
              <w:t xml:space="preserve"> </w:t>
            </w:r>
            <w:r>
              <w:rPr>
                <w:rFonts w:ascii="Verdana" w:hAnsi="Verdana"/>
                <w:sz w:val="20"/>
                <w:szCs w:val="20"/>
                <w:lang w:val="en-GB"/>
              </w:rPr>
              <w:t>23 February 2024</w:t>
            </w:r>
          </w:p>
          <w:p w14:paraId="06B95F43" w14:textId="11DB8EE9" w:rsidR="00C26B2F" w:rsidRPr="00CA57DB" w:rsidRDefault="00C26B2F" w:rsidP="00147AA9">
            <w:pPr>
              <w:shd w:val="solid" w:color="FFFFFF" w:fill="FFFFFF"/>
              <w:overflowPunct w:val="0"/>
              <w:autoSpaceDE w:val="0"/>
              <w:autoSpaceDN w:val="0"/>
              <w:adjustRightInd w:val="0"/>
              <w:spacing w:after="240"/>
              <w:ind w:left="1134" w:hanging="1134"/>
              <w:textAlignment w:val="baseline"/>
              <w:rPr>
                <w:rFonts w:ascii="Verdana" w:hAnsi="Verdana"/>
                <w:sz w:val="20"/>
                <w:szCs w:val="20"/>
                <w:lang w:val="en-GB"/>
              </w:rPr>
            </w:pPr>
            <w:r w:rsidRPr="00CA57DB">
              <w:rPr>
                <w:rFonts w:ascii="Verdana" w:hAnsi="Verdana"/>
                <w:sz w:val="20"/>
                <w:szCs w:val="20"/>
                <w:lang w:val="en-GB"/>
              </w:rPr>
              <w:t>Subject:</w:t>
            </w:r>
            <w:r w:rsidRPr="00CA57DB">
              <w:rPr>
                <w:rFonts w:ascii="Verdana" w:hAnsi="Verdana"/>
                <w:sz w:val="20"/>
                <w:szCs w:val="20"/>
                <w:lang w:val="en-GB"/>
              </w:rPr>
              <w:tab/>
            </w:r>
            <w:r>
              <w:rPr>
                <w:rFonts w:ascii="Verdana" w:hAnsi="Verdana"/>
                <w:sz w:val="20"/>
                <w:szCs w:val="20"/>
                <w:lang w:val="en-GB"/>
              </w:rPr>
              <w:t>WRC-27 Agenda Item 1.11; Resolution 249</w:t>
            </w:r>
          </w:p>
        </w:tc>
        <w:tc>
          <w:tcPr>
            <w:tcW w:w="3402" w:type="dxa"/>
          </w:tcPr>
          <w:p w14:paraId="10884756" w14:textId="3CE33B78" w:rsidR="00C26B2F" w:rsidRPr="00CA57DB" w:rsidRDefault="00C26B2F" w:rsidP="00147AA9">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hAnsi="Verdana"/>
                <w:sz w:val="20"/>
                <w:szCs w:val="20"/>
                <w:lang w:val="en-GB" w:eastAsia="zh-CN"/>
              </w:rPr>
            </w:pPr>
            <w:r w:rsidRPr="00CA57DB">
              <w:rPr>
                <w:rFonts w:ascii="Verdana" w:hAnsi="Verdana"/>
                <w:b/>
                <w:sz w:val="20"/>
                <w:szCs w:val="20"/>
                <w:lang w:val="en-GB" w:eastAsia="zh-CN"/>
              </w:rPr>
              <w:t xml:space="preserve">Document </w:t>
            </w:r>
            <w:r>
              <w:rPr>
                <w:rFonts w:ascii="Verdana" w:hAnsi="Verdana"/>
                <w:b/>
                <w:sz w:val="20"/>
                <w:szCs w:val="20"/>
                <w:lang w:val="en-GB" w:eastAsia="zh-CN"/>
              </w:rPr>
              <w:t>US4C/24/09</w:t>
            </w:r>
            <w:r w:rsidRPr="00CA57DB">
              <w:rPr>
                <w:rFonts w:ascii="Verdana" w:hAnsi="Verdana"/>
                <w:b/>
                <w:sz w:val="20"/>
                <w:szCs w:val="20"/>
                <w:lang w:val="en-GB" w:eastAsia="zh-CN"/>
              </w:rPr>
              <w:t>-E</w:t>
            </w:r>
          </w:p>
        </w:tc>
      </w:tr>
      <w:tr w:rsidR="00C26B2F" w:rsidRPr="00CA57DB" w14:paraId="4CEE816E" w14:textId="77777777" w:rsidTr="00147AA9">
        <w:trPr>
          <w:cantSplit/>
        </w:trPr>
        <w:tc>
          <w:tcPr>
            <w:tcW w:w="6487" w:type="dxa"/>
            <w:vMerge/>
          </w:tcPr>
          <w:p w14:paraId="5386BA75" w14:textId="77777777" w:rsidR="00C26B2F" w:rsidRPr="00CA57DB" w:rsidRDefault="00C26B2F" w:rsidP="00147AA9">
            <w:pPr>
              <w:tabs>
                <w:tab w:val="left" w:pos="1134"/>
                <w:tab w:val="left" w:pos="1871"/>
                <w:tab w:val="left" w:pos="2268"/>
              </w:tabs>
              <w:overflowPunct w:val="0"/>
              <w:autoSpaceDE w:val="0"/>
              <w:autoSpaceDN w:val="0"/>
              <w:adjustRightInd w:val="0"/>
              <w:spacing w:before="60"/>
              <w:jc w:val="center"/>
              <w:textAlignment w:val="baseline"/>
              <w:rPr>
                <w:b/>
                <w:smallCaps/>
                <w:sz w:val="32"/>
                <w:szCs w:val="20"/>
                <w:lang w:val="en-GB" w:eastAsia="zh-CN"/>
              </w:rPr>
            </w:pPr>
            <w:bookmarkStart w:id="3" w:name="ddate" w:colFirst="1" w:colLast="1"/>
            <w:bookmarkEnd w:id="2"/>
          </w:p>
        </w:tc>
        <w:tc>
          <w:tcPr>
            <w:tcW w:w="3402" w:type="dxa"/>
          </w:tcPr>
          <w:p w14:paraId="72AC0952" w14:textId="77777777" w:rsidR="00C26B2F" w:rsidRPr="00CA57DB" w:rsidRDefault="00C26B2F" w:rsidP="00147AA9">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hAnsi="Verdana"/>
                <w:sz w:val="20"/>
                <w:szCs w:val="20"/>
                <w:lang w:val="en-GB" w:eastAsia="zh-CN"/>
              </w:rPr>
            </w:pPr>
            <w:r>
              <w:rPr>
                <w:rFonts w:ascii="Verdana" w:hAnsi="Verdana"/>
                <w:b/>
                <w:sz w:val="20"/>
                <w:szCs w:val="20"/>
                <w:lang w:val="en-GB" w:eastAsia="zh-CN"/>
              </w:rPr>
              <w:t>23 February</w:t>
            </w:r>
            <w:r w:rsidRPr="00CA57DB">
              <w:rPr>
                <w:rFonts w:ascii="Verdana" w:hAnsi="Verdana"/>
                <w:b/>
                <w:sz w:val="20"/>
                <w:szCs w:val="20"/>
                <w:lang w:val="en-GB" w:eastAsia="zh-CN"/>
              </w:rPr>
              <w:t xml:space="preserve"> </w:t>
            </w:r>
            <w:r>
              <w:rPr>
                <w:rFonts w:ascii="Verdana" w:hAnsi="Verdana"/>
                <w:b/>
                <w:sz w:val="20"/>
                <w:szCs w:val="20"/>
                <w:lang w:val="en-GB" w:eastAsia="zh-CN"/>
              </w:rPr>
              <w:t>2024</w:t>
            </w:r>
          </w:p>
        </w:tc>
      </w:tr>
      <w:tr w:rsidR="00C26B2F" w:rsidRPr="00CA57DB" w14:paraId="017E95CC" w14:textId="77777777" w:rsidTr="00147AA9">
        <w:trPr>
          <w:cantSplit/>
        </w:trPr>
        <w:tc>
          <w:tcPr>
            <w:tcW w:w="6487" w:type="dxa"/>
            <w:vMerge/>
          </w:tcPr>
          <w:p w14:paraId="74E82F80" w14:textId="77777777" w:rsidR="00C26B2F" w:rsidRPr="00CA57DB" w:rsidRDefault="00C26B2F" w:rsidP="00147AA9">
            <w:pPr>
              <w:tabs>
                <w:tab w:val="left" w:pos="1134"/>
                <w:tab w:val="left" w:pos="1871"/>
                <w:tab w:val="left" w:pos="2268"/>
              </w:tabs>
              <w:overflowPunct w:val="0"/>
              <w:autoSpaceDE w:val="0"/>
              <w:autoSpaceDN w:val="0"/>
              <w:adjustRightInd w:val="0"/>
              <w:spacing w:before="60"/>
              <w:jc w:val="center"/>
              <w:textAlignment w:val="baseline"/>
              <w:rPr>
                <w:b/>
                <w:smallCaps/>
                <w:sz w:val="32"/>
                <w:szCs w:val="20"/>
                <w:lang w:val="en-GB" w:eastAsia="zh-CN"/>
              </w:rPr>
            </w:pPr>
            <w:bookmarkStart w:id="4" w:name="dorlang" w:colFirst="1" w:colLast="1"/>
            <w:bookmarkEnd w:id="3"/>
          </w:p>
        </w:tc>
        <w:tc>
          <w:tcPr>
            <w:tcW w:w="3402" w:type="dxa"/>
          </w:tcPr>
          <w:p w14:paraId="0A7339D7" w14:textId="77777777" w:rsidR="00C26B2F" w:rsidRPr="00CA57DB" w:rsidRDefault="00C26B2F" w:rsidP="00147AA9">
            <w:pPr>
              <w:shd w:val="solid" w:color="FFFFFF" w:fill="FFFFFF"/>
              <w:tabs>
                <w:tab w:val="left" w:pos="1134"/>
                <w:tab w:val="left" w:pos="1871"/>
                <w:tab w:val="left" w:pos="2268"/>
              </w:tabs>
              <w:overflowPunct w:val="0"/>
              <w:autoSpaceDE w:val="0"/>
              <w:autoSpaceDN w:val="0"/>
              <w:adjustRightInd w:val="0"/>
              <w:spacing w:line="240" w:lineRule="atLeast"/>
              <w:textAlignment w:val="baseline"/>
              <w:rPr>
                <w:rFonts w:ascii="Verdana" w:eastAsia="SimSun" w:hAnsi="Verdana"/>
                <w:sz w:val="20"/>
                <w:szCs w:val="20"/>
                <w:lang w:val="en-GB" w:eastAsia="zh-CN"/>
              </w:rPr>
            </w:pPr>
            <w:r w:rsidRPr="00CA57DB">
              <w:rPr>
                <w:rFonts w:ascii="Verdana" w:eastAsia="SimSun" w:hAnsi="Verdana"/>
                <w:b/>
                <w:sz w:val="20"/>
                <w:szCs w:val="20"/>
                <w:lang w:val="en-GB" w:eastAsia="zh-CN"/>
              </w:rPr>
              <w:t>Original: English</w:t>
            </w:r>
          </w:p>
        </w:tc>
      </w:tr>
      <w:tr w:rsidR="00C26B2F" w:rsidRPr="00CA57DB" w14:paraId="2F5E129C" w14:textId="77777777" w:rsidTr="00147AA9">
        <w:trPr>
          <w:cantSplit/>
        </w:trPr>
        <w:tc>
          <w:tcPr>
            <w:tcW w:w="9889" w:type="dxa"/>
            <w:gridSpan w:val="2"/>
          </w:tcPr>
          <w:p w14:paraId="7045586C" w14:textId="77777777" w:rsidR="00C26B2F" w:rsidRPr="00CA57DB" w:rsidRDefault="00C26B2F" w:rsidP="00147AA9">
            <w:pPr>
              <w:tabs>
                <w:tab w:val="left" w:pos="1134"/>
                <w:tab w:val="left" w:pos="1871"/>
                <w:tab w:val="left" w:pos="2268"/>
              </w:tabs>
              <w:overflowPunct w:val="0"/>
              <w:autoSpaceDE w:val="0"/>
              <w:autoSpaceDN w:val="0"/>
              <w:adjustRightInd w:val="0"/>
              <w:spacing w:before="840"/>
              <w:jc w:val="center"/>
              <w:textAlignment w:val="baseline"/>
              <w:rPr>
                <w:b/>
                <w:sz w:val="28"/>
                <w:szCs w:val="20"/>
                <w:lang w:val="en-GB" w:eastAsia="zh-CN"/>
              </w:rPr>
            </w:pPr>
            <w:bookmarkStart w:id="5" w:name="dsource" w:colFirst="0" w:colLast="0"/>
            <w:bookmarkEnd w:id="4"/>
            <w:r>
              <w:rPr>
                <w:b/>
                <w:sz w:val="28"/>
                <w:szCs w:val="20"/>
                <w:lang w:val="en-GB" w:eastAsia="zh-CN"/>
              </w:rPr>
              <w:t>United States of America</w:t>
            </w:r>
          </w:p>
        </w:tc>
      </w:tr>
      <w:tr w:rsidR="00C26B2F" w:rsidRPr="00CA57DB" w14:paraId="67B5C229" w14:textId="77777777" w:rsidTr="00147AA9">
        <w:trPr>
          <w:cantSplit/>
        </w:trPr>
        <w:tc>
          <w:tcPr>
            <w:tcW w:w="9889" w:type="dxa"/>
            <w:gridSpan w:val="2"/>
          </w:tcPr>
          <w:p w14:paraId="46FCB4ED" w14:textId="31D999D5" w:rsidR="00C26B2F" w:rsidRPr="00CA57DB" w:rsidRDefault="00C26B2F" w:rsidP="00147AA9">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szCs w:val="20"/>
                <w:lang w:val="en-GB" w:eastAsia="zh-CN"/>
              </w:rPr>
            </w:pPr>
            <w:bookmarkStart w:id="6" w:name="drec" w:colFirst="0" w:colLast="0"/>
            <w:bookmarkEnd w:id="5"/>
            <w:r>
              <w:rPr>
                <w:caps/>
                <w:sz w:val="28"/>
                <w:szCs w:val="20"/>
                <w:lang w:eastAsia="zh-CN"/>
              </w:rPr>
              <w:t>working document regarding wrc-27 agenda item 1.11</w:t>
            </w:r>
          </w:p>
        </w:tc>
      </w:tr>
      <w:tr w:rsidR="00C26B2F" w:rsidRPr="00CA57DB" w14:paraId="209B3FFC" w14:textId="77777777" w:rsidTr="00147AA9">
        <w:trPr>
          <w:cantSplit/>
        </w:trPr>
        <w:tc>
          <w:tcPr>
            <w:tcW w:w="9889" w:type="dxa"/>
            <w:gridSpan w:val="2"/>
          </w:tcPr>
          <w:p w14:paraId="42E68579" w14:textId="77777777" w:rsidR="00C26B2F" w:rsidRPr="00CA57DB" w:rsidRDefault="00C26B2F" w:rsidP="00147AA9">
            <w:pPr>
              <w:tabs>
                <w:tab w:val="left" w:pos="567"/>
                <w:tab w:val="left" w:pos="1134"/>
                <w:tab w:val="left" w:pos="1701"/>
                <w:tab w:val="left" w:pos="1871"/>
                <w:tab w:val="left" w:pos="2268"/>
                <w:tab w:val="left" w:pos="2835"/>
              </w:tabs>
              <w:overflowPunct w:val="0"/>
              <w:autoSpaceDE w:val="0"/>
              <w:autoSpaceDN w:val="0"/>
              <w:adjustRightInd w:val="0"/>
              <w:spacing w:before="240"/>
              <w:jc w:val="center"/>
              <w:textAlignment w:val="baseline"/>
              <w:rPr>
                <w:caps/>
                <w:sz w:val="28"/>
                <w:szCs w:val="20"/>
                <w:lang w:val="en-GB" w:eastAsia="zh-CN"/>
              </w:rPr>
            </w:pPr>
            <w:bookmarkStart w:id="7" w:name="dtitle1" w:colFirst="0" w:colLast="0"/>
            <w:bookmarkEnd w:id="6"/>
          </w:p>
        </w:tc>
      </w:tr>
    </w:tbl>
    <w:bookmarkEnd w:id="7"/>
    <w:p w14:paraId="755F890F" w14:textId="2B45DF20" w:rsidR="00C26B2F" w:rsidRDefault="00C26B2F" w:rsidP="00945CFF">
      <w:r>
        <w:t xml:space="preserve">ITU-R Resolution 249 (WRC-23) calls </w:t>
      </w:r>
      <w:r w:rsidR="00FD29A6">
        <w:t xml:space="preserve">for </w:t>
      </w:r>
      <w:r w:rsidR="00945CFF">
        <w:t xml:space="preserve">ITU-R to </w:t>
      </w:r>
      <w:r w:rsidR="00945CFF">
        <w:t>consider the technical and operational issues, and regulatory provisions, for space-to-space links among non-geostationary and geostationary satellites in the frequency bands 1 518-1 544 MHz, 1 545-1 559 MHz, 1</w:t>
      </w:r>
      <w:r w:rsidR="00902F96">
        <w:t> </w:t>
      </w:r>
      <w:r w:rsidR="00945CFF">
        <w:t>610</w:t>
      </w:r>
      <w:r w:rsidR="00902F96">
        <w:noBreakHyphen/>
      </w:r>
      <w:r w:rsidR="00945CFF">
        <w:t>1</w:t>
      </w:r>
      <w:r w:rsidR="00945CFF">
        <w:t> </w:t>
      </w:r>
      <w:r w:rsidR="00945CFF">
        <w:t>645.5 MHz, 1 646.5-1 660 MHz, 1 670-1 675 MHz and 2 483.5-2 500 MHz allocated to the mobile-satellite service</w:t>
      </w:r>
      <w:r w:rsidR="00902F96">
        <w:t>.</w:t>
      </w:r>
      <w:r w:rsidR="00574AB9">
        <w:t xml:space="preserve"> Work on this issue has previously been conducted in Working Party 4C, most recently </w:t>
      </w:r>
      <w:r w:rsidR="00FC7AF6">
        <w:t>at the June 2019 meeting</w:t>
      </w:r>
      <w:r w:rsidR="00D63CCF">
        <w:t xml:space="preserve">, with output in </w:t>
      </w:r>
      <w:hyperlink r:id="rId11" w:history="1">
        <w:r w:rsidR="001D75F7" w:rsidRPr="001D75F7">
          <w:rPr>
            <w:rStyle w:val="Hyperlink"/>
          </w:rPr>
          <w:t>Annex 6 to Document 4C/472 (2016-2019 cycle)</w:t>
        </w:r>
      </w:hyperlink>
      <w:r w:rsidR="001016DD">
        <w:t xml:space="preserve">. The United States herein submits as an attachment the content of this report as a starting point to the development of </w:t>
      </w:r>
      <w:r w:rsidR="00D544BE">
        <w:t>studies to be conducted under agenda item 1.11.</w:t>
      </w:r>
    </w:p>
    <w:p w14:paraId="0C35DE02" w14:textId="77777777" w:rsidR="00D544BE" w:rsidRDefault="00D544BE" w:rsidP="00945CFF"/>
    <w:p w14:paraId="59B70DCB" w14:textId="6B30AD7B" w:rsidR="00D544BE" w:rsidRDefault="00D544BE" w:rsidP="00945CFF">
      <w:r>
        <w:t xml:space="preserve">Further, the United States has identified </w:t>
      </w:r>
      <w:r w:rsidR="00887BBF">
        <w:t xml:space="preserve">characteristics </w:t>
      </w:r>
      <w:r w:rsidR="000A4E77">
        <w:t xml:space="preserve">and interference criteria for the mobile-satellite service between 1 and 3 GHz in ITU-R Recommendations M.1184-3 and M.1183-0, respectively. </w:t>
      </w:r>
      <w:r w:rsidR="00A51EDE">
        <w:t>These recommendations are suggested for use in the required sharing and compatibility studies.</w:t>
      </w:r>
    </w:p>
    <w:p w14:paraId="6D19F8E3" w14:textId="77777777" w:rsidR="00C26B2F" w:rsidRDefault="00C26B2F" w:rsidP="00C26B2F"/>
    <w:p w14:paraId="186E00CC" w14:textId="77777777" w:rsidR="00C26B2F" w:rsidRDefault="00C26B2F" w:rsidP="00C26B2F"/>
    <w:p w14:paraId="4F214DFA" w14:textId="77777777" w:rsidR="00C26B2F" w:rsidRDefault="00C26B2F" w:rsidP="00C26B2F"/>
    <w:p w14:paraId="68F27095" w14:textId="77777777" w:rsidR="001D75F7" w:rsidRDefault="001D75F7">
      <w:pPr>
        <w:spacing w:after="160" w:line="259" w:lineRule="auto"/>
        <w:rPr>
          <w:bCs/>
          <w:szCs w:val="20"/>
        </w:rPr>
      </w:pPr>
      <w:r>
        <w:rPr>
          <w:b/>
          <w:bCs/>
        </w:rPr>
        <w:br w:type="page"/>
      </w:r>
    </w:p>
    <w:p w14:paraId="56C10582" w14:textId="77777777" w:rsidR="001D75F7" w:rsidRDefault="001D75F7" w:rsidP="001D75F7"/>
    <w:tbl>
      <w:tblPr>
        <w:tblpPr w:leftFromText="180" w:rightFromText="180" w:horzAnchor="margin" w:tblpY="-687"/>
        <w:tblW w:w="9889" w:type="dxa"/>
        <w:tblLayout w:type="fixed"/>
        <w:tblLook w:val="0000" w:firstRow="0" w:lastRow="0" w:firstColumn="0" w:lastColumn="0" w:noHBand="0" w:noVBand="0"/>
      </w:tblPr>
      <w:tblGrid>
        <w:gridCol w:w="9889"/>
      </w:tblGrid>
      <w:tr w:rsidR="001D75F7" w:rsidRPr="001D75F7" w14:paraId="3463C87C" w14:textId="77777777" w:rsidTr="00817727">
        <w:trPr>
          <w:cantSplit/>
        </w:trPr>
        <w:tc>
          <w:tcPr>
            <w:tcW w:w="9889" w:type="dxa"/>
          </w:tcPr>
          <w:p w14:paraId="0C1BB094" w14:textId="77777777" w:rsidR="001D75F7" w:rsidRDefault="001D75F7" w:rsidP="001D75F7">
            <w:pPr>
              <w:keepNext/>
              <w:keepLines/>
              <w:tabs>
                <w:tab w:val="left" w:pos="1134"/>
                <w:tab w:val="left" w:pos="1871"/>
                <w:tab w:val="left" w:pos="2268"/>
              </w:tabs>
              <w:overflowPunct w:val="0"/>
              <w:autoSpaceDE w:val="0"/>
              <w:autoSpaceDN w:val="0"/>
              <w:adjustRightInd w:val="0"/>
              <w:spacing w:before="240"/>
              <w:jc w:val="center"/>
              <w:textAlignment w:val="baseline"/>
              <w:rPr>
                <w:rFonts w:ascii="Times New Roman Bold" w:hAnsi="Times New Roman Bold"/>
                <w:b/>
                <w:sz w:val="28"/>
                <w:szCs w:val="20"/>
                <w:lang w:val="en-GB"/>
              </w:rPr>
            </w:pPr>
          </w:p>
          <w:p w14:paraId="65201CDA" w14:textId="070DC9B8" w:rsidR="001D75F7" w:rsidRDefault="001D75F7" w:rsidP="001D75F7">
            <w:pPr>
              <w:keepNext/>
              <w:keepLines/>
              <w:tabs>
                <w:tab w:val="left" w:pos="1134"/>
                <w:tab w:val="left" w:pos="1871"/>
                <w:tab w:val="left" w:pos="2268"/>
              </w:tabs>
              <w:overflowPunct w:val="0"/>
              <w:autoSpaceDE w:val="0"/>
              <w:autoSpaceDN w:val="0"/>
              <w:adjustRightInd w:val="0"/>
              <w:spacing w:before="240"/>
              <w:jc w:val="center"/>
              <w:textAlignment w:val="baseline"/>
              <w:rPr>
                <w:rFonts w:ascii="Times New Roman Bold" w:hAnsi="Times New Roman Bold"/>
                <w:b/>
                <w:sz w:val="28"/>
                <w:szCs w:val="20"/>
                <w:lang w:val="en-GB"/>
              </w:rPr>
            </w:pPr>
            <w:r>
              <w:rPr>
                <w:rFonts w:ascii="Times New Roman Bold" w:hAnsi="Times New Roman Bold"/>
                <w:b/>
                <w:sz w:val="28"/>
                <w:szCs w:val="20"/>
                <w:lang w:val="en-GB"/>
              </w:rPr>
              <w:t>ATTACHMENT</w:t>
            </w:r>
          </w:p>
          <w:p w14:paraId="3B7FE43D" w14:textId="1D51C5DB" w:rsidR="001D75F7" w:rsidRPr="001D75F7" w:rsidRDefault="001D75F7" w:rsidP="001D75F7">
            <w:pPr>
              <w:keepNext/>
              <w:keepLines/>
              <w:tabs>
                <w:tab w:val="left" w:pos="1134"/>
                <w:tab w:val="left" w:pos="1871"/>
                <w:tab w:val="left" w:pos="2268"/>
              </w:tabs>
              <w:overflowPunct w:val="0"/>
              <w:autoSpaceDE w:val="0"/>
              <w:autoSpaceDN w:val="0"/>
              <w:adjustRightInd w:val="0"/>
              <w:spacing w:before="240"/>
              <w:jc w:val="center"/>
              <w:textAlignment w:val="baseline"/>
              <w:rPr>
                <w:rFonts w:ascii="Times New Roman Bold" w:hAnsi="Times New Roman Bold"/>
                <w:b/>
                <w:sz w:val="28"/>
                <w:szCs w:val="20"/>
                <w:lang w:val="en-GB" w:eastAsia="zh-CN"/>
              </w:rPr>
            </w:pPr>
            <w:r w:rsidRPr="001D75F7">
              <w:rPr>
                <w:rFonts w:ascii="Times New Roman Bold" w:hAnsi="Times New Roman Bold"/>
                <w:b/>
                <w:sz w:val="28"/>
                <w:szCs w:val="20"/>
                <w:lang w:val="en-GB"/>
              </w:rPr>
              <w:t>Non-geostationary satellites operating space-to-space links in mobile-satellite service (MSS) allocations</w:t>
            </w:r>
            <w:r w:rsidRPr="001D75F7">
              <w:rPr>
                <w:b/>
                <w:szCs w:val="20"/>
                <w:lang w:val="en-GB"/>
              </w:rPr>
              <w:t xml:space="preserve"> </w:t>
            </w:r>
            <w:r w:rsidRPr="001D75F7">
              <w:rPr>
                <w:rFonts w:ascii="Times New Roman Bold" w:hAnsi="Times New Roman Bold"/>
                <w:b/>
                <w:sz w:val="28"/>
                <w:szCs w:val="20"/>
                <w:lang w:val="en-GB"/>
              </w:rPr>
              <w:t>in the 1-3 GHz range</w:t>
            </w:r>
          </w:p>
        </w:tc>
      </w:tr>
    </w:tbl>
    <w:p w14:paraId="730F0C18"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360"/>
        <w:ind w:left="1134" w:hanging="1134"/>
        <w:textAlignment w:val="baseline"/>
        <w:outlineLvl w:val="0"/>
        <w:rPr>
          <w:b/>
          <w:sz w:val="28"/>
          <w:szCs w:val="20"/>
          <w:lang w:val="en-GB"/>
        </w:rPr>
      </w:pPr>
      <w:r w:rsidRPr="001D75F7">
        <w:rPr>
          <w:b/>
          <w:sz w:val="28"/>
          <w:szCs w:val="20"/>
          <w:lang w:val="en-GB"/>
        </w:rPr>
        <w:t>1</w:t>
      </w:r>
      <w:r w:rsidRPr="001D75F7">
        <w:rPr>
          <w:b/>
          <w:sz w:val="28"/>
          <w:szCs w:val="20"/>
          <w:lang w:val="en-GB"/>
        </w:rPr>
        <w:tab/>
        <w:t>Introduction</w:t>
      </w:r>
    </w:p>
    <w:p w14:paraId="234FE6C3"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Recently, there has been increased activity involving non-geostationary (non-GSO) satellites with short duration missions. Much of the recent activity in this area has dealt with very small satellites referred to as “CubeSats” and other satellite missions using small LEO satellites. Continuous access anywhere on their orbits has been tested with CubeSats using a non-geostationary mobile-satellite service (MSS) system and GSO MSS operators are developing systems to provide communications access to LEO satellites.</w:t>
      </w:r>
    </w:p>
    <w:p w14:paraId="4B548C00"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One Administration has recently begun investigating regulations for these small satellite systems.</w:t>
      </w:r>
      <w:r w:rsidRPr="001D75F7">
        <w:rPr>
          <w:position w:val="6"/>
          <w:sz w:val="18"/>
          <w:szCs w:val="20"/>
          <w:lang w:val="en-GB"/>
        </w:rPr>
        <w:footnoteReference w:id="2"/>
      </w:r>
      <w:r w:rsidRPr="001D75F7">
        <w:rPr>
          <w:szCs w:val="20"/>
          <w:lang w:val="en-GB"/>
        </w:rPr>
        <w:t xml:space="preserve"> Topics being considered in this inquiry include de-orbiting and orbital debris, orbital altitude, the mass of a single spacecraft, spacecraft lifetime, propulsion capability and compatible frequency usage without precluding future entrants in the band. GSO MSS operators are also developing systems to provide communications access to LEO satellites.</w:t>
      </w:r>
    </w:p>
    <w:p w14:paraId="058BA895"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sz w:val="28"/>
          <w:szCs w:val="20"/>
          <w:lang w:val="en-GB"/>
        </w:rPr>
      </w:pPr>
      <w:r w:rsidRPr="001D75F7">
        <w:rPr>
          <w:b/>
          <w:sz w:val="28"/>
          <w:szCs w:val="20"/>
          <w:lang w:val="en-GB"/>
        </w:rPr>
        <w:t>2</w:t>
      </w:r>
      <w:r w:rsidRPr="001D75F7">
        <w:rPr>
          <w:b/>
          <w:sz w:val="28"/>
          <w:szCs w:val="20"/>
          <w:lang w:val="en-GB"/>
        </w:rPr>
        <w:tab/>
        <w:t>Satellite systems potentially requiring space-to-space links</w:t>
      </w:r>
    </w:p>
    <w:p w14:paraId="59CF01AB"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
          <w:szCs w:val="20"/>
          <w:lang w:val="en-GB"/>
        </w:rPr>
      </w:pPr>
      <w:r w:rsidRPr="001D75F7">
        <w:rPr>
          <w:b/>
          <w:szCs w:val="20"/>
          <w:lang w:val="en-GB"/>
        </w:rPr>
        <w:t>2.1</w:t>
      </w:r>
      <w:r w:rsidRPr="001D75F7">
        <w:rPr>
          <w:b/>
          <w:szCs w:val="20"/>
          <w:lang w:val="en-GB"/>
        </w:rPr>
        <w:tab/>
        <w:t>CubeSats – non-geostationary satellites with short duration missions</w:t>
      </w:r>
    </w:p>
    <w:p w14:paraId="757FD708"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shd w:val="clear" w:color="auto" w:fill="FFFFFF"/>
          <w:lang w:val="en-GB"/>
        </w:rPr>
      </w:pPr>
      <w:r w:rsidRPr="001D75F7">
        <w:rPr>
          <w:szCs w:val="18"/>
          <w:shd w:val="clear" w:color="auto" w:fill="FFFFFF"/>
          <w:lang w:val="en-GB"/>
        </w:rPr>
        <w:t>The standard for CubeSats was created by California Polytechnic State University, San Luis Obispo and Stanford University's Space Systems Development Lab in 1999 to facilitate access to space for experimentation by university students. Since then the standard has been adopted by hundreds of organizations worldwide. CubeSat developers include not only universities and educational institutions, but also private firms and government organizations.</w:t>
      </w:r>
    </w:p>
    <w:p w14:paraId="44694CE9"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18"/>
          <w:shd w:val="clear" w:color="auto" w:fill="FFFFFF"/>
          <w:lang w:val="en-GB"/>
        </w:rPr>
      </w:pPr>
      <w:r w:rsidRPr="001D75F7">
        <w:rPr>
          <w:szCs w:val="18"/>
          <w:shd w:val="clear" w:color="auto" w:fill="FFFFFF"/>
          <w:lang w:val="en-GB"/>
        </w:rPr>
        <w:t>The relatively low cost and short development times of CubeSats and nanosatellites have provided researchers at universities and small companies unprecedented access to space. In contrast to typical large-satellite missions, CubeSat missions typically allow reduced cost and development time by using COTS (Commercial-off-the-Shelf) components and launching with other missions on the same launch vehicle. The result has been a significant number of satellite-based research and commercial space endeavours using CubeSats.</w:t>
      </w:r>
    </w:p>
    <w:p w14:paraId="16B85BFE"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18"/>
          <w:shd w:val="clear" w:color="auto" w:fill="FFFFFF"/>
          <w:lang w:val="en-GB"/>
        </w:rPr>
      </w:pPr>
      <w:r w:rsidRPr="001D75F7">
        <w:rPr>
          <w:color w:val="222222"/>
          <w:szCs w:val="20"/>
          <w:shd w:val="clear" w:color="auto" w:fill="FFFFFF"/>
          <w:lang w:val="en-GB"/>
        </w:rPr>
        <w:t>The standard</w:t>
      </w:r>
      <w:r w:rsidRPr="001D75F7">
        <w:rPr>
          <w:rFonts w:ascii="Arial" w:hAnsi="Arial" w:cs="Arial"/>
          <w:color w:val="222222"/>
          <w:szCs w:val="20"/>
          <w:shd w:val="clear" w:color="auto" w:fill="FFFFFF"/>
          <w:lang w:val="en-GB"/>
        </w:rPr>
        <w:t> </w:t>
      </w:r>
      <w:r w:rsidRPr="001D75F7">
        <w:rPr>
          <w:bCs/>
          <w:color w:val="222222"/>
          <w:szCs w:val="20"/>
          <w:shd w:val="clear" w:color="auto" w:fill="FFFFFF"/>
          <w:lang w:val="en-GB"/>
        </w:rPr>
        <w:t>10×10×10 cm</w:t>
      </w:r>
      <w:r w:rsidRPr="001D75F7">
        <w:rPr>
          <w:rFonts w:ascii="Arial" w:hAnsi="Arial" w:cs="Arial"/>
          <w:color w:val="222222"/>
          <w:szCs w:val="20"/>
          <w:shd w:val="clear" w:color="auto" w:fill="FFFFFF"/>
          <w:lang w:val="en-GB"/>
        </w:rPr>
        <w:t> </w:t>
      </w:r>
      <w:r w:rsidRPr="001D75F7">
        <w:rPr>
          <w:color w:val="222222"/>
          <w:szCs w:val="20"/>
          <w:shd w:val="clear" w:color="auto" w:fill="FFFFFF"/>
          <w:lang w:val="en-GB"/>
        </w:rPr>
        <w:t>basic CubeSat is often called a “1U” CubeSat meaning one unit. CubeSats are scalable along only one axis, in 1U increments. CubeSats such as a “2U” CubeSat (20×</w:t>
      </w:r>
      <w:r w:rsidRPr="001D75F7">
        <w:rPr>
          <w:bCs/>
          <w:szCs w:val="20"/>
          <w:lang w:val="en-GB"/>
        </w:rPr>
        <w:t>10×10 cm</w:t>
      </w:r>
      <w:r w:rsidRPr="001D75F7">
        <w:rPr>
          <w:szCs w:val="20"/>
          <w:lang w:val="en-GB"/>
        </w:rPr>
        <w:t>), “3U” CubeSat (30×</w:t>
      </w:r>
      <w:r w:rsidRPr="001D75F7">
        <w:rPr>
          <w:bCs/>
          <w:szCs w:val="20"/>
          <w:lang w:val="en-GB"/>
        </w:rPr>
        <w:t>10×10 cm</w:t>
      </w:r>
      <w:r w:rsidRPr="001D75F7">
        <w:rPr>
          <w:szCs w:val="20"/>
          <w:lang w:val="en-GB"/>
        </w:rPr>
        <w:t>) and “6U” CubeSat (60×</w:t>
      </w:r>
      <w:r w:rsidRPr="001D75F7">
        <w:rPr>
          <w:bCs/>
          <w:szCs w:val="20"/>
          <w:lang w:val="en-GB"/>
        </w:rPr>
        <w:t>10×10 cm</w:t>
      </w:r>
      <w:r w:rsidRPr="001D75F7">
        <w:rPr>
          <w:szCs w:val="20"/>
          <w:lang w:val="en-GB"/>
        </w:rPr>
        <w:t>) have been both built and launched</w:t>
      </w:r>
      <w:r w:rsidRPr="001D75F7">
        <w:rPr>
          <w:szCs w:val="20"/>
          <w:shd w:val="clear" w:color="auto" w:fill="F5F5F5"/>
          <w:lang w:val="en-GB"/>
        </w:rPr>
        <w:t>.</w:t>
      </w:r>
    </w:p>
    <w:p w14:paraId="39ADCE7B"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 xml:space="preserve">The CubeSat specification has been widely adopted even outside the academic community, largely due to low costs and access to launch services, and satellites based on the standard constitute a large percentage of small satellites deployed in recent years. While the advantages of </w:t>
      </w:r>
      <w:r w:rsidRPr="001D75F7">
        <w:rPr>
          <w:szCs w:val="20"/>
          <w:lang w:val="en-GB"/>
        </w:rPr>
        <w:lastRenderedPageBreak/>
        <w:t>small satellites have ensured their continuing use by universities and research institutions, it has also encouraged the growing number of CubeSat missions that are commercial.</w:t>
      </w:r>
    </w:p>
    <w:p w14:paraId="5BD708CB" w14:textId="77777777" w:rsidR="001D75F7" w:rsidRPr="001D75F7" w:rsidRDefault="001D75F7" w:rsidP="001D75F7">
      <w:pPr>
        <w:keepNext/>
        <w:keepLines/>
        <w:tabs>
          <w:tab w:val="left" w:pos="1871"/>
          <w:tab w:val="left" w:pos="2268"/>
        </w:tabs>
        <w:overflowPunct w:val="0"/>
        <w:autoSpaceDE w:val="0"/>
        <w:autoSpaceDN w:val="0"/>
        <w:adjustRightInd w:val="0"/>
        <w:spacing w:before="200"/>
        <w:ind w:left="1134" w:hanging="1134"/>
        <w:textAlignment w:val="baseline"/>
        <w:outlineLvl w:val="2"/>
        <w:rPr>
          <w:b/>
          <w:szCs w:val="20"/>
          <w:lang w:val="en-GB"/>
        </w:rPr>
      </w:pPr>
      <w:r w:rsidRPr="001D75F7">
        <w:rPr>
          <w:b/>
          <w:szCs w:val="20"/>
          <w:lang w:val="en-GB"/>
        </w:rPr>
        <w:t>2.1.1</w:t>
      </w:r>
      <w:r w:rsidRPr="001D75F7">
        <w:rPr>
          <w:b/>
          <w:szCs w:val="20"/>
          <w:lang w:val="en-GB"/>
        </w:rPr>
        <w:tab/>
        <w:t>Examples of CubeSat missions with space-to-space links within in the frequency bands allocated to MSS at 1 610-1 626.5 MHz and 2 483.5</w:t>
      </w:r>
      <w:r w:rsidRPr="001D75F7">
        <w:rPr>
          <w:b/>
          <w:szCs w:val="20"/>
          <w:lang w:val="en-GB"/>
        </w:rPr>
        <w:noBreakHyphen/>
        <w:t xml:space="preserve">2 500 MHz </w:t>
      </w:r>
    </w:p>
    <w:p w14:paraId="637931DB"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b/>
          <w:bCs/>
          <w:color w:val="111111"/>
          <w:szCs w:val="20"/>
          <w:lang w:val="en-GB"/>
        </w:rPr>
        <w:t xml:space="preserve">TSAT </w:t>
      </w:r>
      <w:r w:rsidRPr="001D75F7">
        <w:rPr>
          <w:szCs w:val="20"/>
          <w:lang w:val="en-GB"/>
        </w:rPr>
        <w:t>(</w:t>
      </w:r>
      <w:proofErr w:type="spellStart"/>
      <w:r w:rsidRPr="001D75F7">
        <w:rPr>
          <w:b/>
          <w:bCs/>
          <w:color w:val="111111"/>
          <w:szCs w:val="20"/>
          <w:lang w:val="en-GB"/>
        </w:rPr>
        <w:t>TestSat</w:t>
      </w:r>
      <w:proofErr w:type="spellEnd"/>
      <w:r w:rsidRPr="001D75F7">
        <w:rPr>
          <w:b/>
          <w:bCs/>
          <w:color w:val="111111"/>
          <w:szCs w:val="20"/>
          <w:lang w:val="en-GB"/>
        </w:rPr>
        <w:t>-Lite</w:t>
      </w:r>
      <w:r w:rsidRPr="001D75F7">
        <w:rPr>
          <w:szCs w:val="20"/>
          <w:lang w:val="en-GB"/>
        </w:rPr>
        <w:t>) was a CubeSat designed and built by engineering students at a university in the USA. It was built on a</w:t>
      </w:r>
      <w:r w:rsidRPr="001D75F7">
        <w:rPr>
          <w:color w:val="111111"/>
          <w:szCs w:val="20"/>
          <w:lang w:val="en-GB"/>
        </w:rPr>
        <w:t> </w:t>
      </w:r>
      <w:r w:rsidRPr="001D75F7">
        <w:rPr>
          <w:szCs w:val="20"/>
          <w:lang w:val="en-GB"/>
        </w:rPr>
        <w:t>2U form factor.</w:t>
      </w:r>
    </w:p>
    <w:p w14:paraId="3B7A7DCB"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TSAT was a dual mission using a</w:t>
      </w:r>
      <w:r w:rsidRPr="001D75F7">
        <w:rPr>
          <w:color w:val="111111"/>
          <w:szCs w:val="20"/>
          <w:lang w:val="en-GB"/>
        </w:rPr>
        <w:t> </w:t>
      </w:r>
      <w:r w:rsidRPr="001D75F7">
        <w:rPr>
          <w:szCs w:val="20"/>
          <w:lang w:val="en-GB"/>
        </w:rPr>
        <w:t>communication modem working with a non</w:t>
      </w:r>
      <w:r w:rsidRPr="001D75F7">
        <w:rPr>
          <w:color w:val="111111"/>
          <w:szCs w:val="20"/>
          <w:lang w:val="en-GB"/>
        </w:rPr>
        <w:t>-GSO MSS system</w:t>
      </w:r>
      <w:r w:rsidRPr="001D75F7">
        <w:rPr>
          <w:szCs w:val="20"/>
          <w:lang w:val="en-GB"/>
        </w:rPr>
        <w:t xml:space="preserve"> to demonstrate a reliable and global CubeSat system and a satellite bus design for Space Weather research consisting of a Langmuir plasma probe, 3-axis magnetometer, and 3 ultraviolet photodiodes.</w:t>
      </w:r>
    </w:p>
    <w:p w14:paraId="6538A96A"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In February 2012, TSAT was selected for a launch opportunity through the USA National Aeronautics and Space Administration (NASA) Educational Launch of Nanosatellites (</w:t>
      </w:r>
      <w:proofErr w:type="spellStart"/>
      <w:r w:rsidRPr="001D75F7">
        <w:rPr>
          <w:szCs w:val="20"/>
          <w:lang w:val="en-GB"/>
        </w:rPr>
        <w:t>ELaNa</w:t>
      </w:r>
      <w:proofErr w:type="spellEnd"/>
      <w:r w:rsidRPr="001D75F7">
        <w:rPr>
          <w:szCs w:val="20"/>
          <w:lang w:val="en-GB"/>
        </w:rPr>
        <w:t>) program. Final pre-launch tests were completed and it was delivered to NASA for successful launch in early 2014.</w:t>
      </w:r>
    </w:p>
    <w:p w14:paraId="49C82B16"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b/>
          <w:bCs/>
          <w:szCs w:val="20"/>
          <w:lang w:val="en-GB"/>
        </w:rPr>
        <w:t xml:space="preserve">GEARRS-1, </w:t>
      </w:r>
      <w:r w:rsidRPr="001D75F7">
        <w:rPr>
          <w:szCs w:val="20"/>
          <w:lang w:val="en-GB"/>
        </w:rPr>
        <w:t>An Experiment And Risk Reduction Satellite, was launched in a project operated by a USA industrial firm. This CubeSat was used to determine whether it was possible to support CubeSat operations by using an existing mobile-satellite service (MSS) system. It was shown that the CubeSat was able to continuously maintain in contact with the existing MSS system over the entire CubeSat orbit for both CubeSat-to-MSS and CubeSat-to-CubeSat operation, through an associated feeder link earth station.</w:t>
      </w:r>
    </w:p>
    <w:p w14:paraId="1F29D432"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b/>
          <w:bCs/>
          <w:szCs w:val="20"/>
          <w:lang w:val="en-GB"/>
        </w:rPr>
        <w:t xml:space="preserve">GEARRS-2 </w:t>
      </w:r>
      <w:r w:rsidRPr="001D75F7">
        <w:rPr>
          <w:szCs w:val="20"/>
          <w:lang w:val="en-GB"/>
        </w:rPr>
        <w:t>was a second experimental satellite, launched to investigate the use of an existing MSS system for command and control of a small satellite system and a CubeSat flown in Low Earth Orbit (LEO). The project relied on the technology developed earlier at a USA University for the TSAT experiment flown in 2014. The first GEARRS satellite was deployed from the International Space Station (ISS) in March 2015 after being launched by the Cygnus Orb-2 mission in July 2014.</w:t>
      </w:r>
    </w:p>
    <w:p w14:paraId="22BE368B" w14:textId="77777777" w:rsidR="001D75F7" w:rsidRPr="001D75F7" w:rsidRDefault="001D75F7" w:rsidP="001D75F7">
      <w:pPr>
        <w:tabs>
          <w:tab w:val="left" w:pos="1134"/>
          <w:tab w:val="left" w:pos="1871"/>
          <w:tab w:val="left" w:pos="2268"/>
        </w:tabs>
        <w:overflowPunct w:val="0"/>
        <w:autoSpaceDE w:val="0"/>
        <w:autoSpaceDN w:val="0"/>
        <w:adjustRightInd w:val="0"/>
        <w:spacing w:before="80"/>
        <w:textAlignment w:val="baseline"/>
        <w:rPr>
          <w:szCs w:val="20"/>
          <w:lang w:val="en-GB"/>
        </w:rPr>
      </w:pPr>
      <w:r w:rsidRPr="001D75F7">
        <w:rPr>
          <w:szCs w:val="20"/>
          <w:lang w:val="en-GB"/>
        </w:rPr>
        <w:t>The use of an existing MSS system for telemetry and control of small satellites would enable continuous access to the spacecraft instead of the usual limited access provided by dispersed ground-stations. Using dispersed ground stations would only allow communication during the few passes that were in range of the ground-stations, lasting only minutes per day, depending on the number and locations of the ground-stations. The use of the non-GSO MSS system enables low</w:t>
      </w:r>
      <w:r w:rsidRPr="001D75F7">
        <w:rPr>
          <w:szCs w:val="20"/>
          <w:lang w:val="en-GB"/>
        </w:rPr>
        <w:noBreakHyphen/>
        <w:t>latency, low-data rate communications such as voice and data connectivity between terminals including mobile users. The GEARRS-2, 3U CubeSat tested communication links through the non</w:t>
      </w:r>
      <w:r w:rsidRPr="001D75F7">
        <w:rPr>
          <w:szCs w:val="20"/>
          <w:lang w:val="en-GB"/>
        </w:rPr>
        <w:noBreakHyphen/>
        <w:t>GSO MSS system to confirm the capability of operating “small” satellite systems, allowing low-cost access to space for scientific and commercial objectives.</w:t>
      </w:r>
    </w:p>
    <w:p w14:paraId="763F24B2"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color w:val="444444"/>
          <w:szCs w:val="21"/>
          <w:bdr w:val="none" w:sz="0" w:space="0" w:color="auto" w:frame="1"/>
          <w:lang w:val="en-GB"/>
        </w:rPr>
      </w:pPr>
      <w:r w:rsidRPr="001D75F7">
        <w:rPr>
          <w:b/>
          <w:bCs/>
          <w:szCs w:val="20"/>
          <w:lang w:val="en-GB"/>
        </w:rPr>
        <w:t>MakerSat-0</w:t>
      </w:r>
      <w:r w:rsidRPr="001D75F7">
        <w:rPr>
          <w:szCs w:val="20"/>
          <w:lang w:val="en-GB"/>
        </w:rPr>
        <w:t xml:space="preserve"> will be placed in a sun-synchronous, polar orbit through the NASA </w:t>
      </w:r>
      <w:proofErr w:type="spellStart"/>
      <w:r w:rsidRPr="001D75F7">
        <w:rPr>
          <w:szCs w:val="20"/>
          <w:lang w:val="en-GB"/>
        </w:rPr>
        <w:t>ELaNa</w:t>
      </w:r>
      <w:proofErr w:type="spellEnd"/>
      <w:r w:rsidRPr="001D75F7">
        <w:rPr>
          <w:szCs w:val="20"/>
          <w:lang w:val="en-GB"/>
        </w:rPr>
        <w:t xml:space="preserve"> program in preparation for the eventual construction on-board and launch of MakerSat-1 from the ISS. This project will</w:t>
      </w:r>
      <w:r w:rsidRPr="001D75F7">
        <w:rPr>
          <w:b/>
          <w:bCs/>
          <w:szCs w:val="20"/>
          <w:bdr w:val="none" w:sz="0" w:space="0" w:color="auto" w:frame="1"/>
          <w:lang w:val="en-GB"/>
        </w:rPr>
        <w:t xml:space="preserve"> test communication links through a non-GSO MSS system to confirm the capability of operating “small” satellite systems in a Polar orbit</w:t>
      </w:r>
      <w:r w:rsidRPr="001D75F7">
        <w:rPr>
          <w:b/>
          <w:bCs/>
          <w:color w:val="444444"/>
          <w:szCs w:val="21"/>
          <w:bdr w:val="none" w:sz="0" w:space="0" w:color="auto" w:frame="1"/>
          <w:lang w:val="en-GB"/>
        </w:rPr>
        <w:t>.</w:t>
      </w:r>
    </w:p>
    <w:p w14:paraId="6F6FB553"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color w:val="000000"/>
          <w:szCs w:val="18"/>
          <w:shd w:val="clear" w:color="auto" w:fill="FFFFFF"/>
          <w:lang w:val="en-GB"/>
        </w:rPr>
      </w:pPr>
      <w:r w:rsidRPr="001D75F7">
        <w:rPr>
          <w:b/>
          <w:bCs/>
          <w:color w:val="000000"/>
          <w:szCs w:val="18"/>
          <w:shd w:val="clear" w:color="auto" w:fill="FFFFFF"/>
          <w:lang w:val="en-GB"/>
        </w:rPr>
        <w:t>MakerSat-1</w:t>
      </w:r>
      <w:r w:rsidRPr="001D75F7">
        <w:rPr>
          <w:color w:val="000000"/>
          <w:szCs w:val="18"/>
          <w:shd w:val="clear" w:color="auto" w:fill="FFFFFF"/>
          <w:lang w:val="en-GB"/>
        </w:rPr>
        <w:t xml:space="preserve"> is a technology proof-of-concept mission from another USA university that will demonstrate microgravity additive manufacturing, assembly, and deployment of a CubeSat from the ISS. MakerSat-1 is a 1U multi-project satellite, supporting up to four science payloads that </w:t>
      </w:r>
      <w:r w:rsidRPr="001D75F7">
        <w:rPr>
          <w:color w:val="000000"/>
          <w:szCs w:val="18"/>
          <w:shd w:val="clear" w:color="auto" w:fill="FFFFFF"/>
          <w:lang w:val="en-GB"/>
        </w:rPr>
        <w:lastRenderedPageBreak/>
        <w:t xml:space="preserve">can be developed by four independent experiment developers. In the upcoming MakerSat-1 mission, one university science team will measure the mass loss of several additively-manufactured polymers in orbit. The materials are expected to undergo mass loss due to monoatomic oxygen radicals, ultraviolet (UV) radiation, ionizing radiation, and outgassing. A secondary school science team payload will also be flown. </w:t>
      </w:r>
    </w:p>
    <w:p w14:paraId="2B8C2A50"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
          <w:szCs w:val="20"/>
          <w:lang w:val="en-GB"/>
        </w:rPr>
      </w:pPr>
      <w:r w:rsidRPr="001D75F7">
        <w:rPr>
          <w:b/>
          <w:szCs w:val="20"/>
          <w:lang w:val="en-GB"/>
        </w:rPr>
        <w:t>2.2</w:t>
      </w:r>
      <w:r w:rsidRPr="001D75F7">
        <w:rPr>
          <w:b/>
          <w:szCs w:val="20"/>
          <w:lang w:val="en-GB"/>
        </w:rPr>
        <w:tab/>
        <w:t>Small LEO satellites</w:t>
      </w:r>
    </w:p>
    <w:p w14:paraId="3B400DF6"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In addition to CubeSats, other LEO satellites could make use of space-to-space links in the MSS to provide a communications link between spacecraft and ground.</w:t>
      </w:r>
    </w:p>
    <w:p w14:paraId="23647A79"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As an example, this application could be of particular interest to operators of scientific, weather forecasting, earth observation and imaging missions which have a requirement to transmit the data collected by the payload sensors from space to ground.  There is sometimes a requirement for the data to be transferred within minutes of acquisition which can be accomplished due to the near global coverage provided by some MSS systems.  Space-to-space links could also be used to provide telemetry, tracking and command communications to and from the spacecraft.</w:t>
      </w:r>
    </w:p>
    <w:p w14:paraId="60BB4135"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sz w:val="28"/>
          <w:szCs w:val="20"/>
          <w:lang w:val="en-GB"/>
        </w:rPr>
      </w:pPr>
      <w:r w:rsidRPr="001D75F7">
        <w:rPr>
          <w:b/>
          <w:sz w:val="28"/>
          <w:szCs w:val="20"/>
          <w:lang w:val="en-GB"/>
        </w:rPr>
        <w:t>3</w:t>
      </w:r>
      <w:r w:rsidRPr="001D75F7">
        <w:rPr>
          <w:b/>
          <w:sz w:val="28"/>
          <w:szCs w:val="20"/>
          <w:lang w:val="en-GB"/>
        </w:rPr>
        <w:tab/>
        <w:t>Examples of technical characteristics</w:t>
      </w:r>
    </w:p>
    <w:p w14:paraId="0AC17283"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Two example system descriptions are provided, one for space-to-space links between CubeSats and non-GSO MSS system satellites and the other for space-to-space links between LEO satellites and GSO MSS satellites.</w:t>
      </w:r>
    </w:p>
    <w:p w14:paraId="3A52C06A"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
          <w:szCs w:val="20"/>
          <w:lang w:val="en-GB"/>
        </w:rPr>
      </w:pPr>
      <w:r w:rsidRPr="001D75F7">
        <w:rPr>
          <w:b/>
          <w:szCs w:val="20"/>
          <w:lang w:val="en-GB"/>
        </w:rPr>
        <w:t>3.1</w:t>
      </w:r>
      <w:r w:rsidRPr="001D75F7">
        <w:rPr>
          <w:b/>
          <w:szCs w:val="20"/>
          <w:lang w:val="en-GB"/>
        </w:rPr>
        <w:tab/>
        <w:t>Space-to-space links between CubeSats and non-GSO MSS system satellites</w:t>
      </w:r>
    </w:p>
    <w:p w14:paraId="13AC7E86"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 xml:space="preserve">The links between the CubeSat and the MSS spacecraft can be used to provide both payload and Tracking, Telemetry and Control (TT&amp;C) communications. Further, the CubeSat radio operations may be transmit only or two-way. For transmit only links, the CubeSat is equipped with only a transmitter that can access the MSS system. Similar transmitters are routinely used terrestrially for asset tracking and personal location beacons. In the case of transmit only links, additional radio equipment for ceasing transmissions based on ground command must be included on the CubeSat. For two-way communications, the CubeSat has both transmit and receive capability similar to that in conventional mobile earth stations (MESs) used in terrestrial and aeronautical communications via a MSS system. </w:t>
      </w:r>
    </w:p>
    <w:p w14:paraId="5B7E9041" w14:textId="77777777" w:rsidR="001D75F7" w:rsidRPr="001D75F7" w:rsidRDefault="001D75F7" w:rsidP="001D75F7">
      <w:pPr>
        <w:tabs>
          <w:tab w:val="left" w:pos="1134"/>
          <w:tab w:val="left" w:pos="1871"/>
          <w:tab w:val="left" w:pos="2268"/>
        </w:tabs>
        <w:overflowPunct w:val="0"/>
        <w:autoSpaceDE w:val="0"/>
        <w:autoSpaceDN w:val="0"/>
        <w:adjustRightInd w:val="0"/>
        <w:spacing w:before="120" w:after="240"/>
        <w:textAlignment w:val="baseline"/>
        <w:rPr>
          <w:szCs w:val="20"/>
          <w:lang w:val="en-GB"/>
        </w:rPr>
      </w:pPr>
      <w:r w:rsidRPr="001D75F7">
        <w:rPr>
          <w:szCs w:val="20"/>
          <w:lang w:val="en-GB"/>
        </w:rPr>
        <w:t>Representative communications characteristics of a typical CubeSat communicating with an MSS system are given in the Table below.</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3660"/>
      </w:tblGrid>
      <w:tr w:rsidR="001D75F7" w:rsidRPr="001D75F7" w14:paraId="02B14739" w14:textId="77777777" w:rsidTr="00817727">
        <w:trPr>
          <w:jc w:val="center"/>
        </w:trPr>
        <w:tc>
          <w:tcPr>
            <w:tcW w:w="7371" w:type="dxa"/>
            <w:gridSpan w:val="2"/>
            <w:shd w:val="clear" w:color="auto" w:fill="auto"/>
          </w:tcPr>
          <w:p w14:paraId="2170E296"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sz w:val="20"/>
                <w:szCs w:val="20"/>
                <w:lang w:val="en-GB"/>
              </w:rPr>
            </w:pPr>
            <w:r w:rsidRPr="001D75F7">
              <w:rPr>
                <w:rFonts w:ascii="Times New Roman Bold" w:hAnsi="Times New Roman Bold" w:cs="Times New Roman Bold"/>
                <w:b/>
                <w:sz w:val="20"/>
                <w:szCs w:val="20"/>
                <w:lang w:val="en-GB"/>
              </w:rPr>
              <w:t>CubeSat/MSS Communications Characteristics Transmit Only</w:t>
            </w:r>
          </w:p>
        </w:tc>
      </w:tr>
      <w:tr w:rsidR="001D75F7" w:rsidRPr="001D75F7" w14:paraId="344A586C" w14:textId="77777777" w:rsidTr="00817727">
        <w:trPr>
          <w:jc w:val="center"/>
        </w:trPr>
        <w:tc>
          <w:tcPr>
            <w:tcW w:w="3711" w:type="dxa"/>
            <w:shd w:val="clear" w:color="auto" w:fill="auto"/>
          </w:tcPr>
          <w:p w14:paraId="6606080F" w14:textId="77777777" w:rsidR="001D75F7" w:rsidRPr="001D75F7" w:rsidRDefault="001D75F7" w:rsidP="001D75F7">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CubeSat Altitude</w:t>
            </w:r>
          </w:p>
        </w:tc>
        <w:tc>
          <w:tcPr>
            <w:tcW w:w="3660" w:type="dxa"/>
            <w:shd w:val="clear" w:color="auto" w:fill="auto"/>
          </w:tcPr>
          <w:p w14:paraId="107003B1" w14:textId="77777777" w:rsidR="001D75F7" w:rsidRPr="001D75F7" w:rsidRDefault="001D75F7" w:rsidP="001D75F7">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400 km</w:t>
            </w:r>
          </w:p>
        </w:tc>
      </w:tr>
      <w:tr w:rsidR="001D75F7" w:rsidRPr="001D75F7" w14:paraId="23293C2C" w14:textId="77777777" w:rsidTr="00817727">
        <w:trPr>
          <w:jc w:val="center"/>
        </w:trPr>
        <w:tc>
          <w:tcPr>
            <w:tcW w:w="3711" w:type="dxa"/>
            <w:shd w:val="clear" w:color="auto" w:fill="auto"/>
          </w:tcPr>
          <w:p w14:paraId="232EE6C7" w14:textId="77777777" w:rsidR="001D75F7" w:rsidRPr="001D75F7" w:rsidRDefault="001D75F7" w:rsidP="001D75F7">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proofErr w:type="spellStart"/>
            <w:r w:rsidRPr="001D75F7">
              <w:rPr>
                <w:sz w:val="20"/>
                <w:szCs w:val="20"/>
                <w:lang w:val="en-GB"/>
              </w:rPr>
              <w:t>Center</w:t>
            </w:r>
            <w:proofErr w:type="spellEnd"/>
            <w:r w:rsidRPr="001D75F7">
              <w:rPr>
                <w:sz w:val="20"/>
                <w:szCs w:val="20"/>
                <w:lang w:val="en-GB"/>
              </w:rPr>
              <w:t xml:space="preserve"> Frequency</w:t>
            </w:r>
          </w:p>
        </w:tc>
        <w:tc>
          <w:tcPr>
            <w:tcW w:w="3660" w:type="dxa"/>
            <w:shd w:val="clear" w:color="auto" w:fill="auto"/>
          </w:tcPr>
          <w:p w14:paraId="595814F7"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1 616.25 MHz</w:t>
            </w:r>
          </w:p>
        </w:tc>
      </w:tr>
      <w:tr w:rsidR="001D75F7" w:rsidRPr="001D75F7" w14:paraId="3E5E2B6F" w14:textId="77777777" w:rsidTr="00817727">
        <w:trPr>
          <w:jc w:val="center"/>
        </w:trPr>
        <w:tc>
          <w:tcPr>
            <w:tcW w:w="3711" w:type="dxa"/>
            <w:shd w:val="clear" w:color="auto" w:fill="auto"/>
          </w:tcPr>
          <w:p w14:paraId="7FF621CC" w14:textId="77777777" w:rsidR="001D75F7" w:rsidRPr="001D75F7" w:rsidRDefault="001D75F7" w:rsidP="001D75F7">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Bandwidth</w:t>
            </w:r>
          </w:p>
        </w:tc>
        <w:tc>
          <w:tcPr>
            <w:tcW w:w="3660" w:type="dxa"/>
            <w:shd w:val="clear" w:color="auto" w:fill="auto"/>
          </w:tcPr>
          <w:p w14:paraId="207B89B2"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2.5 MHz</w:t>
            </w:r>
          </w:p>
        </w:tc>
      </w:tr>
      <w:tr w:rsidR="001D75F7" w:rsidRPr="001D75F7" w14:paraId="7CBE6655" w14:textId="77777777" w:rsidTr="00817727">
        <w:trPr>
          <w:jc w:val="center"/>
        </w:trPr>
        <w:tc>
          <w:tcPr>
            <w:tcW w:w="3711" w:type="dxa"/>
            <w:shd w:val="clear" w:color="auto" w:fill="auto"/>
          </w:tcPr>
          <w:p w14:paraId="3DB51CE3"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Transmitter Power Output</w:t>
            </w:r>
          </w:p>
        </w:tc>
        <w:tc>
          <w:tcPr>
            <w:tcW w:w="3660" w:type="dxa"/>
            <w:shd w:val="clear" w:color="auto" w:fill="auto"/>
          </w:tcPr>
          <w:p w14:paraId="682208F4"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 xml:space="preserve">–12.5 </w:t>
            </w:r>
            <w:proofErr w:type="spellStart"/>
            <w:r w:rsidRPr="001D75F7">
              <w:rPr>
                <w:sz w:val="20"/>
                <w:szCs w:val="20"/>
                <w:lang w:val="en-GB"/>
              </w:rPr>
              <w:t>dBW</w:t>
            </w:r>
            <w:proofErr w:type="spellEnd"/>
          </w:p>
        </w:tc>
      </w:tr>
      <w:tr w:rsidR="001D75F7" w:rsidRPr="001D75F7" w14:paraId="1FB7D59C" w14:textId="77777777" w:rsidTr="00817727">
        <w:trPr>
          <w:jc w:val="center"/>
        </w:trPr>
        <w:tc>
          <w:tcPr>
            <w:tcW w:w="3711" w:type="dxa"/>
            <w:shd w:val="clear" w:color="auto" w:fill="auto"/>
          </w:tcPr>
          <w:p w14:paraId="2F68C816"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Line Loss</w:t>
            </w:r>
          </w:p>
        </w:tc>
        <w:tc>
          <w:tcPr>
            <w:tcW w:w="3660" w:type="dxa"/>
            <w:shd w:val="clear" w:color="auto" w:fill="auto"/>
          </w:tcPr>
          <w:p w14:paraId="61D0BB8C"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0.6 dB</w:t>
            </w:r>
          </w:p>
        </w:tc>
      </w:tr>
      <w:tr w:rsidR="001D75F7" w:rsidRPr="001D75F7" w14:paraId="4A6FC68F" w14:textId="77777777" w:rsidTr="00817727">
        <w:trPr>
          <w:jc w:val="center"/>
        </w:trPr>
        <w:tc>
          <w:tcPr>
            <w:tcW w:w="3711" w:type="dxa"/>
            <w:shd w:val="clear" w:color="auto" w:fill="auto"/>
          </w:tcPr>
          <w:p w14:paraId="6A8A7CCA"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Antenna Gain (Front Lobe)</w:t>
            </w:r>
          </w:p>
        </w:tc>
        <w:tc>
          <w:tcPr>
            <w:tcW w:w="3660" w:type="dxa"/>
            <w:shd w:val="clear" w:color="auto" w:fill="auto"/>
          </w:tcPr>
          <w:p w14:paraId="5DE23749"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 xml:space="preserve">4.5 </w:t>
            </w:r>
            <w:proofErr w:type="spellStart"/>
            <w:r w:rsidRPr="001D75F7">
              <w:rPr>
                <w:sz w:val="20"/>
                <w:szCs w:val="20"/>
                <w:lang w:val="en-GB"/>
              </w:rPr>
              <w:t>dBi</w:t>
            </w:r>
            <w:proofErr w:type="spellEnd"/>
          </w:p>
        </w:tc>
      </w:tr>
      <w:tr w:rsidR="001D75F7" w:rsidRPr="001D75F7" w14:paraId="4C24F9A4" w14:textId="77777777" w:rsidTr="00817727">
        <w:trPr>
          <w:jc w:val="center"/>
        </w:trPr>
        <w:tc>
          <w:tcPr>
            <w:tcW w:w="3711" w:type="dxa"/>
            <w:shd w:val="clear" w:color="auto" w:fill="auto"/>
          </w:tcPr>
          <w:p w14:paraId="3D212A06"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Antenna Gain (Back Lobe)</w:t>
            </w:r>
          </w:p>
        </w:tc>
        <w:tc>
          <w:tcPr>
            <w:tcW w:w="3660" w:type="dxa"/>
            <w:shd w:val="clear" w:color="auto" w:fill="auto"/>
          </w:tcPr>
          <w:p w14:paraId="3C560C5C"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 xml:space="preserve">&lt; –4.5 </w:t>
            </w:r>
            <w:proofErr w:type="spellStart"/>
            <w:r w:rsidRPr="001D75F7">
              <w:rPr>
                <w:sz w:val="20"/>
                <w:szCs w:val="20"/>
                <w:lang w:val="en-GB"/>
              </w:rPr>
              <w:t>dBi</w:t>
            </w:r>
            <w:proofErr w:type="spellEnd"/>
          </w:p>
        </w:tc>
      </w:tr>
      <w:tr w:rsidR="001D75F7" w:rsidRPr="001D75F7" w14:paraId="62B169AE" w14:textId="77777777" w:rsidTr="00817727">
        <w:trPr>
          <w:jc w:val="center"/>
        </w:trPr>
        <w:tc>
          <w:tcPr>
            <w:tcW w:w="7371" w:type="dxa"/>
            <w:gridSpan w:val="2"/>
            <w:shd w:val="clear" w:color="auto" w:fill="auto"/>
          </w:tcPr>
          <w:p w14:paraId="4189E8B6" w14:textId="77777777" w:rsidR="001D75F7" w:rsidRPr="001D75F7" w:rsidRDefault="001D75F7" w:rsidP="001D75F7">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sz w:val="20"/>
                <w:szCs w:val="20"/>
                <w:lang w:val="en-GB"/>
              </w:rPr>
            </w:pPr>
            <w:r w:rsidRPr="001D75F7">
              <w:rPr>
                <w:rFonts w:ascii="Times New Roman Bold" w:hAnsi="Times New Roman Bold" w:cs="Times New Roman Bold"/>
                <w:b/>
                <w:sz w:val="20"/>
                <w:szCs w:val="20"/>
                <w:lang w:val="en-GB"/>
              </w:rPr>
              <w:lastRenderedPageBreak/>
              <w:t>CubeSat/MSS Communications Characteristics Two-way Communication</w:t>
            </w:r>
          </w:p>
        </w:tc>
      </w:tr>
      <w:tr w:rsidR="001D75F7" w:rsidRPr="001D75F7" w14:paraId="53A5E00C" w14:textId="77777777" w:rsidTr="00817727">
        <w:trPr>
          <w:jc w:val="center"/>
        </w:trPr>
        <w:tc>
          <w:tcPr>
            <w:tcW w:w="3710" w:type="dxa"/>
            <w:shd w:val="clear" w:color="auto" w:fill="auto"/>
          </w:tcPr>
          <w:p w14:paraId="4B3010B3"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Transmit Band</w:t>
            </w:r>
          </w:p>
        </w:tc>
        <w:tc>
          <w:tcPr>
            <w:tcW w:w="3661" w:type="dxa"/>
            <w:shd w:val="clear" w:color="auto" w:fill="auto"/>
          </w:tcPr>
          <w:p w14:paraId="0DFD90BA"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1 615-1 617.775 MHz</w:t>
            </w:r>
          </w:p>
        </w:tc>
      </w:tr>
      <w:tr w:rsidR="001D75F7" w:rsidRPr="001D75F7" w14:paraId="40C382B9" w14:textId="77777777" w:rsidTr="00817727">
        <w:trPr>
          <w:jc w:val="center"/>
        </w:trPr>
        <w:tc>
          <w:tcPr>
            <w:tcW w:w="3710" w:type="dxa"/>
            <w:shd w:val="clear" w:color="auto" w:fill="auto"/>
          </w:tcPr>
          <w:p w14:paraId="1D911A35"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Receive Band</w:t>
            </w:r>
          </w:p>
        </w:tc>
        <w:tc>
          <w:tcPr>
            <w:tcW w:w="3661" w:type="dxa"/>
            <w:shd w:val="clear" w:color="auto" w:fill="auto"/>
          </w:tcPr>
          <w:p w14:paraId="62A721AB"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2 483.5-2 495 MHz</w:t>
            </w:r>
          </w:p>
        </w:tc>
      </w:tr>
      <w:tr w:rsidR="001D75F7" w:rsidRPr="001D75F7" w14:paraId="697DEE3D" w14:textId="77777777" w:rsidTr="00817727">
        <w:trPr>
          <w:jc w:val="center"/>
        </w:trPr>
        <w:tc>
          <w:tcPr>
            <w:tcW w:w="3710" w:type="dxa"/>
            <w:shd w:val="clear" w:color="auto" w:fill="auto"/>
          </w:tcPr>
          <w:p w14:paraId="277AD8BD"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Bandwidth</w:t>
            </w:r>
          </w:p>
        </w:tc>
        <w:tc>
          <w:tcPr>
            <w:tcW w:w="3661" w:type="dxa"/>
            <w:shd w:val="clear" w:color="auto" w:fill="auto"/>
          </w:tcPr>
          <w:p w14:paraId="2ED982DC"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1.23 MHz</w:t>
            </w:r>
          </w:p>
        </w:tc>
      </w:tr>
      <w:tr w:rsidR="001D75F7" w:rsidRPr="001D75F7" w14:paraId="21195E85" w14:textId="77777777" w:rsidTr="00817727">
        <w:trPr>
          <w:jc w:val="center"/>
        </w:trPr>
        <w:tc>
          <w:tcPr>
            <w:tcW w:w="3710" w:type="dxa"/>
            <w:shd w:val="clear" w:color="auto" w:fill="auto"/>
          </w:tcPr>
          <w:p w14:paraId="1F297C78"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Transmitter Power Output</w:t>
            </w:r>
          </w:p>
        </w:tc>
        <w:tc>
          <w:tcPr>
            <w:tcW w:w="3661" w:type="dxa"/>
            <w:shd w:val="clear" w:color="auto" w:fill="auto"/>
          </w:tcPr>
          <w:p w14:paraId="1598C710"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 xml:space="preserve">–4.0 </w:t>
            </w:r>
            <w:proofErr w:type="spellStart"/>
            <w:r w:rsidRPr="001D75F7">
              <w:rPr>
                <w:sz w:val="20"/>
                <w:szCs w:val="20"/>
                <w:lang w:val="en-GB"/>
              </w:rPr>
              <w:t>dBW</w:t>
            </w:r>
            <w:proofErr w:type="spellEnd"/>
          </w:p>
        </w:tc>
      </w:tr>
      <w:tr w:rsidR="001D75F7" w:rsidRPr="001D75F7" w14:paraId="750FE16E" w14:textId="77777777" w:rsidTr="00817727">
        <w:trPr>
          <w:jc w:val="center"/>
        </w:trPr>
        <w:tc>
          <w:tcPr>
            <w:tcW w:w="3710" w:type="dxa"/>
            <w:shd w:val="clear" w:color="auto" w:fill="auto"/>
          </w:tcPr>
          <w:p w14:paraId="654BE683"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Line Loss</w:t>
            </w:r>
          </w:p>
        </w:tc>
        <w:tc>
          <w:tcPr>
            <w:tcW w:w="3661" w:type="dxa"/>
            <w:shd w:val="clear" w:color="auto" w:fill="auto"/>
          </w:tcPr>
          <w:p w14:paraId="2BD71365"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0.6 dB</w:t>
            </w:r>
          </w:p>
        </w:tc>
      </w:tr>
      <w:tr w:rsidR="001D75F7" w:rsidRPr="001D75F7" w14:paraId="1603E766" w14:textId="77777777" w:rsidTr="00817727">
        <w:trPr>
          <w:jc w:val="center"/>
        </w:trPr>
        <w:tc>
          <w:tcPr>
            <w:tcW w:w="3710" w:type="dxa"/>
            <w:shd w:val="clear" w:color="auto" w:fill="auto"/>
          </w:tcPr>
          <w:p w14:paraId="7D482DB2"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Transmit Antenna Gain (Front Lobe)</w:t>
            </w:r>
          </w:p>
        </w:tc>
        <w:tc>
          <w:tcPr>
            <w:tcW w:w="3661" w:type="dxa"/>
            <w:shd w:val="clear" w:color="auto" w:fill="auto"/>
          </w:tcPr>
          <w:p w14:paraId="550E05DE"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 xml:space="preserve">4.5 </w:t>
            </w:r>
            <w:proofErr w:type="spellStart"/>
            <w:r w:rsidRPr="001D75F7">
              <w:rPr>
                <w:sz w:val="20"/>
                <w:szCs w:val="20"/>
                <w:lang w:val="en-GB"/>
              </w:rPr>
              <w:t>dBi</w:t>
            </w:r>
            <w:proofErr w:type="spellEnd"/>
          </w:p>
        </w:tc>
      </w:tr>
      <w:tr w:rsidR="001D75F7" w:rsidRPr="001D75F7" w14:paraId="332FBB25" w14:textId="77777777" w:rsidTr="00817727">
        <w:trPr>
          <w:jc w:val="center"/>
        </w:trPr>
        <w:tc>
          <w:tcPr>
            <w:tcW w:w="3710" w:type="dxa"/>
            <w:shd w:val="clear" w:color="auto" w:fill="auto"/>
          </w:tcPr>
          <w:p w14:paraId="2ED0EE0D"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Transmit Antenna Gain (</w:t>
            </w:r>
            <w:proofErr w:type="spellStart"/>
            <w:r w:rsidRPr="001D75F7">
              <w:rPr>
                <w:sz w:val="20"/>
                <w:szCs w:val="20"/>
                <w:lang w:val="en-GB"/>
              </w:rPr>
              <w:t>Backlobe</w:t>
            </w:r>
            <w:proofErr w:type="spellEnd"/>
            <w:r w:rsidRPr="001D75F7">
              <w:rPr>
                <w:sz w:val="20"/>
                <w:szCs w:val="20"/>
                <w:lang w:val="en-GB"/>
              </w:rPr>
              <w:t>)</w:t>
            </w:r>
          </w:p>
        </w:tc>
        <w:tc>
          <w:tcPr>
            <w:tcW w:w="3661" w:type="dxa"/>
            <w:shd w:val="clear" w:color="auto" w:fill="auto"/>
          </w:tcPr>
          <w:p w14:paraId="204932D4"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 xml:space="preserve">&lt; –4,5 </w:t>
            </w:r>
            <w:proofErr w:type="spellStart"/>
            <w:r w:rsidRPr="001D75F7">
              <w:rPr>
                <w:sz w:val="20"/>
                <w:szCs w:val="20"/>
                <w:lang w:val="en-GB"/>
              </w:rPr>
              <w:t>dBi</w:t>
            </w:r>
            <w:proofErr w:type="spellEnd"/>
          </w:p>
        </w:tc>
      </w:tr>
      <w:tr w:rsidR="001D75F7" w:rsidRPr="001D75F7" w14:paraId="1FFAEAC6" w14:textId="77777777" w:rsidTr="00817727">
        <w:trPr>
          <w:jc w:val="center"/>
        </w:trPr>
        <w:tc>
          <w:tcPr>
            <w:tcW w:w="3710" w:type="dxa"/>
            <w:shd w:val="clear" w:color="auto" w:fill="auto"/>
          </w:tcPr>
          <w:p w14:paraId="492B42E6"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Receive Antenna Gain (</w:t>
            </w:r>
            <w:proofErr w:type="spellStart"/>
            <w:r w:rsidRPr="001D75F7">
              <w:rPr>
                <w:sz w:val="20"/>
                <w:szCs w:val="20"/>
                <w:lang w:val="en-GB"/>
              </w:rPr>
              <w:t>Frontlobe</w:t>
            </w:r>
            <w:proofErr w:type="spellEnd"/>
            <w:r w:rsidRPr="001D75F7">
              <w:rPr>
                <w:sz w:val="20"/>
                <w:szCs w:val="20"/>
                <w:lang w:val="en-GB"/>
              </w:rPr>
              <w:t>)</w:t>
            </w:r>
          </w:p>
        </w:tc>
        <w:tc>
          <w:tcPr>
            <w:tcW w:w="3661" w:type="dxa"/>
            <w:shd w:val="clear" w:color="auto" w:fill="auto"/>
          </w:tcPr>
          <w:p w14:paraId="1BB23DD6"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 xml:space="preserve">3 </w:t>
            </w:r>
            <w:proofErr w:type="spellStart"/>
            <w:r w:rsidRPr="001D75F7">
              <w:rPr>
                <w:sz w:val="20"/>
                <w:szCs w:val="20"/>
                <w:lang w:val="en-GB"/>
              </w:rPr>
              <w:t>dBi</w:t>
            </w:r>
            <w:proofErr w:type="spellEnd"/>
          </w:p>
        </w:tc>
      </w:tr>
      <w:tr w:rsidR="001D75F7" w:rsidRPr="001D75F7" w14:paraId="60A13971" w14:textId="77777777" w:rsidTr="00817727">
        <w:trPr>
          <w:jc w:val="center"/>
        </w:trPr>
        <w:tc>
          <w:tcPr>
            <w:tcW w:w="3710" w:type="dxa"/>
            <w:shd w:val="clear" w:color="auto" w:fill="auto"/>
          </w:tcPr>
          <w:p w14:paraId="780D71F6"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System Noise Temperature</w:t>
            </w:r>
          </w:p>
        </w:tc>
        <w:tc>
          <w:tcPr>
            <w:tcW w:w="3661" w:type="dxa"/>
            <w:shd w:val="clear" w:color="auto" w:fill="auto"/>
          </w:tcPr>
          <w:p w14:paraId="36D9E7DF"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300 K</w:t>
            </w:r>
          </w:p>
        </w:tc>
      </w:tr>
    </w:tbl>
    <w:p w14:paraId="24257F51" w14:textId="77777777" w:rsidR="001D75F7" w:rsidRPr="001D75F7" w:rsidRDefault="001D75F7" w:rsidP="001D75F7">
      <w:pPr>
        <w:tabs>
          <w:tab w:val="left" w:pos="1134"/>
          <w:tab w:val="left" w:pos="1871"/>
          <w:tab w:val="left" w:pos="2268"/>
        </w:tabs>
        <w:overflowPunct w:val="0"/>
        <w:autoSpaceDE w:val="0"/>
        <w:autoSpaceDN w:val="0"/>
        <w:adjustRightInd w:val="0"/>
        <w:textAlignment w:val="baseline"/>
        <w:rPr>
          <w:rFonts w:eastAsia="MS Mincho"/>
          <w:sz w:val="20"/>
          <w:szCs w:val="20"/>
          <w:lang w:val="en-GB"/>
        </w:rPr>
      </w:pPr>
    </w:p>
    <w:p w14:paraId="4D92030B"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In addition, CubeSats that have utilized these radios have included controls to ensure that the CubeSat transmitter radiates toward space rather than toward the earth. Attitude control has been accomplished either through magnetic or mechanical means and thermal sensors determine whether the spacecraft is oriented towards the Earth or, in the proper direction, towards space. Additionally, in some CubeSats, controls have been implemented to allow the transmitter to turn on only when data collected by the satellite is ready for transmission. In the event of a transmitter exceeding its pre-determined allowable transmission period, the transmitter can be commanded off in order to preserve battery life. If a transmitter were to fail in the permanently “on” state, the battery would become depleted after several hours and the spacecraft would shut down.</w:t>
      </w:r>
    </w:p>
    <w:p w14:paraId="758B94CF"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
          <w:szCs w:val="20"/>
          <w:lang w:val="en-GB"/>
        </w:rPr>
      </w:pPr>
      <w:r w:rsidRPr="001D75F7">
        <w:rPr>
          <w:b/>
          <w:szCs w:val="20"/>
          <w:lang w:val="en-GB"/>
        </w:rPr>
        <w:t>3.2</w:t>
      </w:r>
      <w:r w:rsidRPr="001D75F7">
        <w:rPr>
          <w:b/>
          <w:szCs w:val="20"/>
          <w:lang w:val="en-GB"/>
        </w:rPr>
        <w:tab/>
        <w:t>Space-to-space links between LEO satellites and GSO MSS system satellites</w:t>
      </w:r>
    </w:p>
    <w:p w14:paraId="06D8C4E9"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pacing w:val="-4"/>
          <w:szCs w:val="20"/>
          <w:lang w:val="en-GB"/>
        </w:rPr>
      </w:pPr>
      <w:r w:rsidRPr="001D75F7">
        <w:rPr>
          <w:spacing w:val="-4"/>
          <w:szCs w:val="20"/>
          <w:lang w:val="en-GB"/>
        </w:rPr>
        <w:t>GSO MSS systems operate in the frequency bands 1 518-1 559 MHz (space-to-Earth) and 1 626.5</w:t>
      </w:r>
      <w:r w:rsidRPr="001D75F7">
        <w:rPr>
          <w:spacing w:val="-4"/>
          <w:szCs w:val="20"/>
          <w:lang w:val="en-GB"/>
        </w:rPr>
        <w:noBreakHyphen/>
        <w:t>1 660.5 MHz and 1 668-1 675 MHz (Earth-to-space). These bands are used for the service links to terminals on ships and aircraft and land portable terminals. The feeder links, connecting the GSO satellite with the ground network operate in other frequency bands, for example, C-band and Ku-band FSS bands. The service links at 1.5/1.6 GHz typically make use of multiple spot beams formed by the spacecraft antenna. An example of spot beam coverage from 3 GSO satellites is shown in Figure 1.</w:t>
      </w:r>
    </w:p>
    <w:p w14:paraId="4506CDED" w14:textId="77777777" w:rsidR="001D75F7" w:rsidRPr="001D75F7" w:rsidRDefault="001D75F7" w:rsidP="001D75F7">
      <w:pPr>
        <w:tabs>
          <w:tab w:val="left" w:pos="1134"/>
          <w:tab w:val="left" w:pos="1871"/>
          <w:tab w:val="left" w:pos="2268"/>
        </w:tabs>
        <w:overflowPunct w:val="0"/>
        <w:autoSpaceDE w:val="0"/>
        <w:autoSpaceDN w:val="0"/>
        <w:adjustRightInd w:val="0"/>
        <w:spacing w:before="400" w:after="120"/>
        <w:jc w:val="center"/>
        <w:textAlignment w:val="baseline"/>
        <w:rPr>
          <w:caps/>
          <w:sz w:val="20"/>
          <w:szCs w:val="20"/>
          <w:lang w:val="en-GB"/>
        </w:rPr>
      </w:pPr>
      <w:r w:rsidRPr="001D75F7">
        <w:rPr>
          <w:caps/>
          <w:sz w:val="20"/>
          <w:szCs w:val="20"/>
          <w:lang w:val="en-GB"/>
        </w:rPr>
        <w:t>Figure 1</w:t>
      </w:r>
    </w:p>
    <w:p w14:paraId="3116C82D" w14:textId="77777777" w:rsidR="001D75F7" w:rsidRPr="001D75F7" w:rsidRDefault="001D75F7" w:rsidP="001D75F7">
      <w:pPr>
        <w:tabs>
          <w:tab w:val="left" w:pos="1134"/>
          <w:tab w:val="left" w:pos="1871"/>
          <w:tab w:val="left" w:pos="2268"/>
        </w:tabs>
        <w:overflowPunct w:val="0"/>
        <w:autoSpaceDE w:val="0"/>
        <w:autoSpaceDN w:val="0"/>
        <w:adjustRightInd w:val="0"/>
        <w:spacing w:after="120"/>
        <w:jc w:val="center"/>
        <w:textAlignment w:val="baseline"/>
        <w:rPr>
          <w:rFonts w:ascii="Times New Roman Bold" w:hAnsi="Times New Roman Bold"/>
          <w:b/>
          <w:sz w:val="20"/>
          <w:szCs w:val="20"/>
          <w:lang w:val="en-GB"/>
        </w:rPr>
      </w:pPr>
      <w:r w:rsidRPr="001D75F7">
        <w:rPr>
          <w:rFonts w:ascii="Times New Roman Bold" w:hAnsi="Times New Roman Bold"/>
          <w:b/>
          <w:sz w:val="20"/>
          <w:szCs w:val="20"/>
          <w:lang w:val="en-GB"/>
        </w:rPr>
        <w:t>Example of spot beam coverage from 3 GSO MSS satellites</w:t>
      </w:r>
    </w:p>
    <w:p w14:paraId="520A4056" w14:textId="77777777" w:rsidR="001D75F7" w:rsidRPr="001D75F7" w:rsidRDefault="001D75F7" w:rsidP="001D75F7">
      <w:pPr>
        <w:tabs>
          <w:tab w:val="left" w:pos="1134"/>
          <w:tab w:val="left" w:pos="1871"/>
          <w:tab w:val="left" w:pos="2268"/>
        </w:tabs>
        <w:overflowPunct w:val="0"/>
        <w:autoSpaceDE w:val="0"/>
        <w:autoSpaceDN w:val="0"/>
        <w:adjustRightInd w:val="0"/>
        <w:spacing w:before="120" w:after="240"/>
        <w:jc w:val="center"/>
        <w:textAlignment w:val="baseline"/>
        <w:rPr>
          <w:szCs w:val="20"/>
          <w:lang w:val="en-GB"/>
        </w:rPr>
      </w:pPr>
      <w:r w:rsidRPr="001D75F7">
        <w:rPr>
          <w:noProof/>
          <w:szCs w:val="20"/>
          <w:lang w:val="en-GB" w:eastAsia="zh-CN"/>
        </w:rPr>
        <w:lastRenderedPageBreak/>
        <w:drawing>
          <wp:inline distT="0" distB="0" distL="0" distR="0" wp14:anchorId="2BE4F038" wp14:editId="08E050BD">
            <wp:extent cx="5234075" cy="2859314"/>
            <wp:effectExtent l="0" t="0" r="5080" b="0"/>
            <wp:docPr id="52226" name="Picture 3" descr="Spot beam map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 name="Picture 3" descr="Spot beam map 200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258515" cy="2872666"/>
                    </a:xfrm>
                    <a:prstGeom prst="rect">
                      <a:avLst/>
                    </a:prstGeom>
                    <a:noFill/>
                    <a:ln>
                      <a:noFill/>
                    </a:ln>
                    <a:extLst>
                      <a:ext uri="{53640926-AAD7-44D8-BBD7-CCE9431645EC}">
                        <a14:shadowObscured xmlns:a14="http://schemas.microsoft.com/office/drawing/2010/main"/>
                      </a:ext>
                    </a:extLst>
                  </pic:spPr>
                </pic:pic>
              </a:graphicData>
            </a:graphic>
          </wp:inline>
        </w:drawing>
      </w:r>
    </w:p>
    <w:p w14:paraId="6E5302D9"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MSS operators have developed modified mobile earth stations that may be placed on a LEO spacecraft.  As long as the LEO spacecraft is located within a GSO MSS satellite spot beam, it may communicate with the GSO spacecraft. Three GSO satellites equally spaced in geostationary orbit allow connectivity for almost 100% of the time, as shown in Figure 2.</w:t>
      </w:r>
    </w:p>
    <w:p w14:paraId="01A13659"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480" w:after="120"/>
        <w:jc w:val="center"/>
        <w:textAlignment w:val="baseline"/>
        <w:rPr>
          <w:caps/>
          <w:sz w:val="20"/>
          <w:szCs w:val="20"/>
          <w:lang w:val="en-GB"/>
        </w:rPr>
      </w:pPr>
      <w:r w:rsidRPr="001D75F7">
        <w:rPr>
          <w:caps/>
          <w:sz w:val="20"/>
          <w:szCs w:val="20"/>
          <w:lang w:val="en-GB"/>
        </w:rPr>
        <w:t>Figure 2</w:t>
      </w:r>
    </w:p>
    <w:p w14:paraId="20AE9D05"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after="120"/>
        <w:jc w:val="center"/>
        <w:textAlignment w:val="baseline"/>
        <w:rPr>
          <w:rFonts w:ascii="Times New Roman Bold" w:hAnsi="Times New Roman Bold"/>
          <w:b/>
          <w:sz w:val="20"/>
          <w:szCs w:val="20"/>
          <w:lang w:val="en-GB"/>
        </w:rPr>
      </w:pPr>
      <w:r w:rsidRPr="001D75F7">
        <w:rPr>
          <w:rFonts w:ascii="Times New Roman Bold" w:hAnsi="Times New Roman Bold"/>
          <w:b/>
          <w:sz w:val="20"/>
          <w:szCs w:val="20"/>
          <w:lang w:val="en-GB"/>
        </w:rPr>
        <w:t>LEO satellite within coverage of GSO MSS satellites</w:t>
      </w:r>
    </w:p>
    <w:p w14:paraId="65CA947E" w14:textId="77777777" w:rsidR="001D75F7" w:rsidRPr="001D75F7" w:rsidRDefault="001D75F7" w:rsidP="001D75F7">
      <w:pPr>
        <w:tabs>
          <w:tab w:val="left" w:pos="1134"/>
          <w:tab w:val="left" w:pos="1871"/>
          <w:tab w:val="left" w:pos="2268"/>
        </w:tabs>
        <w:overflowPunct w:val="0"/>
        <w:autoSpaceDE w:val="0"/>
        <w:autoSpaceDN w:val="0"/>
        <w:adjustRightInd w:val="0"/>
        <w:spacing w:before="120" w:after="240"/>
        <w:jc w:val="center"/>
        <w:textAlignment w:val="baseline"/>
        <w:rPr>
          <w:szCs w:val="20"/>
          <w:lang w:val="en-GB"/>
        </w:rPr>
      </w:pPr>
      <w:r w:rsidRPr="001D75F7">
        <w:rPr>
          <w:szCs w:val="20"/>
          <w:lang w:val="en-GB"/>
        </w:rPr>
        <w:object w:dxaOrig="6735" w:dyaOrig="5115" w14:anchorId="1AC61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1pt;height:254.75pt" o:ole="">
            <v:imagedata r:id="rId13" o:title=""/>
          </v:shape>
          <o:OLEObject Type="Embed" ProgID="Visio.Drawing.15" ShapeID="_x0000_i1025" DrawAspect="Content" ObjectID="_1770215861" r:id="rId14"/>
        </w:object>
      </w:r>
    </w:p>
    <w:p w14:paraId="27AF9CA6"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lastRenderedPageBreak/>
        <w:t>The data rates that can be provided are similar to those provided to terrestrial terminals.  For this application, using a background</w:t>
      </w:r>
      <w:r w:rsidRPr="001D75F7">
        <w:rPr>
          <w:b/>
          <w:szCs w:val="20"/>
          <w:lang w:val="en-GB"/>
        </w:rPr>
        <w:t xml:space="preserve"> </w:t>
      </w:r>
      <w:r w:rsidRPr="001D75F7">
        <w:rPr>
          <w:szCs w:val="20"/>
          <w:lang w:val="en-GB"/>
        </w:rPr>
        <w:t>IP protocol, up to 200 kbit/s both to and from the spacecraft is provided.</w:t>
      </w:r>
    </w:p>
    <w:p w14:paraId="171959A2" w14:textId="77777777" w:rsidR="001D75F7" w:rsidRPr="001D75F7" w:rsidRDefault="001D75F7" w:rsidP="001D75F7">
      <w:pPr>
        <w:tabs>
          <w:tab w:val="left" w:pos="1134"/>
          <w:tab w:val="left" w:pos="1871"/>
          <w:tab w:val="left" w:pos="2268"/>
        </w:tabs>
        <w:overflowPunct w:val="0"/>
        <w:autoSpaceDE w:val="0"/>
        <w:autoSpaceDN w:val="0"/>
        <w:adjustRightInd w:val="0"/>
        <w:spacing w:before="120" w:after="240"/>
        <w:textAlignment w:val="baseline"/>
        <w:rPr>
          <w:szCs w:val="20"/>
          <w:lang w:val="en-GB"/>
        </w:rPr>
      </w:pPr>
      <w:r w:rsidRPr="001D75F7">
        <w:rPr>
          <w:szCs w:val="20"/>
          <w:lang w:val="en-GB"/>
        </w:rPr>
        <w:t>Example characteristics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1D75F7" w:rsidRPr="001D75F7" w14:paraId="37DAFD2F" w14:textId="77777777" w:rsidTr="00817727">
        <w:trPr>
          <w:jc w:val="center"/>
        </w:trPr>
        <w:tc>
          <w:tcPr>
            <w:tcW w:w="8856" w:type="dxa"/>
            <w:gridSpan w:val="2"/>
            <w:shd w:val="clear" w:color="auto" w:fill="auto"/>
          </w:tcPr>
          <w:p w14:paraId="429060B6" w14:textId="77777777" w:rsidR="001D75F7" w:rsidRPr="001D75F7" w:rsidRDefault="001D75F7" w:rsidP="001D75F7">
            <w:pPr>
              <w:keepNext/>
              <w:tabs>
                <w:tab w:val="left" w:pos="1134"/>
                <w:tab w:val="left" w:pos="1871"/>
                <w:tab w:val="left" w:pos="2268"/>
              </w:tabs>
              <w:overflowPunct w:val="0"/>
              <w:autoSpaceDE w:val="0"/>
              <w:autoSpaceDN w:val="0"/>
              <w:adjustRightInd w:val="0"/>
              <w:spacing w:before="80" w:after="80"/>
              <w:jc w:val="center"/>
              <w:textAlignment w:val="baseline"/>
              <w:rPr>
                <w:rFonts w:ascii="Times New Roman Bold" w:hAnsi="Times New Roman Bold" w:cs="Times New Roman Bold"/>
                <w:b/>
                <w:sz w:val="20"/>
                <w:szCs w:val="20"/>
                <w:lang w:val="en-GB"/>
              </w:rPr>
            </w:pPr>
            <w:r w:rsidRPr="001D75F7">
              <w:rPr>
                <w:rFonts w:ascii="Times New Roman Bold" w:hAnsi="Times New Roman Bold" w:cs="Times New Roman Bold"/>
                <w:b/>
                <w:sz w:val="20"/>
                <w:szCs w:val="20"/>
                <w:lang w:val="en-GB"/>
              </w:rPr>
              <w:t>LEO/GEO MSS communications example characteristics</w:t>
            </w:r>
          </w:p>
        </w:tc>
      </w:tr>
      <w:tr w:rsidR="001D75F7" w:rsidRPr="001D75F7" w14:paraId="7E530BE1" w14:textId="77777777" w:rsidTr="00817727">
        <w:trPr>
          <w:jc w:val="center"/>
        </w:trPr>
        <w:tc>
          <w:tcPr>
            <w:tcW w:w="4428" w:type="dxa"/>
            <w:shd w:val="clear" w:color="auto" w:fill="auto"/>
          </w:tcPr>
          <w:p w14:paraId="672FD075"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Transmit Band</w:t>
            </w:r>
          </w:p>
        </w:tc>
        <w:tc>
          <w:tcPr>
            <w:tcW w:w="4428" w:type="dxa"/>
            <w:shd w:val="clear" w:color="auto" w:fill="auto"/>
          </w:tcPr>
          <w:p w14:paraId="305D1749"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1626.5-1660.5 MHz, 1668-1675 MHz</w:t>
            </w:r>
          </w:p>
        </w:tc>
      </w:tr>
      <w:tr w:rsidR="001D75F7" w:rsidRPr="001D75F7" w14:paraId="7C7C1132" w14:textId="77777777" w:rsidTr="00817727">
        <w:trPr>
          <w:jc w:val="center"/>
        </w:trPr>
        <w:tc>
          <w:tcPr>
            <w:tcW w:w="4428" w:type="dxa"/>
            <w:shd w:val="clear" w:color="auto" w:fill="auto"/>
          </w:tcPr>
          <w:p w14:paraId="52FBB810"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Receive Band</w:t>
            </w:r>
          </w:p>
        </w:tc>
        <w:tc>
          <w:tcPr>
            <w:tcW w:w="4428" w:type="dxa"/>
            <w:shd w:val="clear" w:color="auto" w:fill="auto"/>
          </w:tcPr>
          <w:p w14:paraId="1DD12B6F"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1518-1559 MHz</w:t>
            </w:r>
          </w:p>
        </w:tc>
      </w:tr>
      <w:tr w:rsidR="001D75F7" w:rsidRPr="001D75F7" w14:paraId="5ECDC852" w14:textId="77777777" w:rsidTr="00817727">
        <w:trPr>
          <w:jc w:val="center"/>
        </w:trPr>
        <w:tc>
          <w:tcPr>
            <w:tcW w:w="4428" w:type="dxa"/>
            <w:shd w:val="clear" w:color="auto" w:fill="auto"/>
          </w:tcPr>
          <w:p w14:paraId="3EAC9D21"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Channel Bandwidth</w:t>
            </w:r>
          </w:p>
        </w:tc>
        <w:tc>
          <w:tcPr>
            <w:tcW w:w="4428" w:type="dxa"/>
            <w:shd w:val="clear" w:color="auto" w:fill="auto"/>
          </w:tcPr>
          <w:p w14:paraId="7F14DF77"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200 kHz</w:t>
            </w:r>
          </w:p>
        </w:tc>
      </w:tr>
      <w:tr w:rsidR="001D75F7" w:rsidRPr="001D75F7" w14:paraId="53AED22C" w14:textId="77777777" w:rsidTr="00817727">
        <w:trPr>
          <w:jc w:val="center"/>
        </w:trPr>
        <w:tc>
          <w:tcPr>
            <w:tcW w:w="4428" w:type="dxa"/>
            <w:shd w:val="clear" w:color="auto" w:fill="auto"/>
          </w:tcPr>
          <w:p w14:paraId="178AE7CE"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proofErr w:type="spellStart"/>
            <w:r w:rsidRPr="001D75F7">
              <w:rPr>
                <w:sz w:val="20"/>
                <w:szCs w:val="20"/>
                <w:lang w:val="en-GB"/>
              </w:rPr>
              <w:t>E.i.r.p</w:t>
            </w:r>
            <w:proofErr w:type="spellEnd"/>
            <w:r w:rsidRPr="001D75F7">
              <w:rPr>
                <w:sz w:val="20"/>
                <w:szCs w:val="20"/>
                <w:lang w:val="en-GB"/>
              </w:rPr>
              <w:t>.</w:t>
            </w:r>
          </w:p>
        </w:tc>
        <w:tc>
          <w:tcPr>
            <w:tcW w:w="4428" w:type="dxa"/>
            <w:shd w:val="clear" w:color="auto" w:fill="auto"/>
          </w:tcPr>
          <w:p w14:paraId="46EB8089"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 xml:space="preserve">10 </w:t>
            </w:r>
            <w:proofErr w:type="spellStart"/>
            <w:r w:rsidRPr="001D75F7">
              <w:rPr>
                <w:sz w:val="20"/>
                <w:szCs w:val="20"/>
                <w:lang w:val="en-GB"/>
              </w:rPr>
              <w:t>dBW</w:t>
            </w:r>
            <w:proofErr w:type="spellEnd"/>
          </w:p>
        </w:tc>
      </w:tr>
      <w:tr w:rsidR="001D75F7" w:rsidRPr="001D75F7" w14:paraId="3504F9F4" w14:textId="77777777" w:rsidTr="00817727">
        <w:trPr>
          <w:jc w:val="center"/>
        </w:trPr>
        <w:tc>
          <w:tcPr>
            <w:tcW w:w="4428" w:type="dxa"/>
            <w:shd w:val="clear" w:color="auto" w:fill="auto"/>
          </w:tcPr>
          <w:p w14:paraId="74C1C9FB"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Antenna type</w:t>
            </w:r>
          </w:p>
        </w:tc>
        <w:tc>
          <w:tcPr>
            <w:tcW w:w="4428" w:type="dxa"/>
            <w:shd w:val="clear" w:color="auto" w:fill="auto"/>
          </w:tcPr>
          <w:p w14:paraId="496EA6E2"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Switched, multi-element</w:t>
            </w:r>
          </w:p>
        </w:tc>
      </w:tr>
      <w:tr w:rsidR="001D75F7" w:rsidRPr="001D75F7" w14:paraId="6DDB80DD" w14:textId="77777777" w:rsidTr="00817727">
        <w:trPr>
          <w:jc w:val="center"/>
        </w:trPr>
        <w:tc>
          <w:tcPr>
            <w:tcW w:w="4428" w:type="dxa"/>
            <w:shd w:val="clear" w:color="auto" w:fill="auto"/>
          </w:tcPr>
          <w:p w14:paraId="1AF5D4EB"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Transmit Antenna Gain (Front Lobe)</w:t>
            </w:r>
          </w:p>
        </w:tc>
        <w:tc>
          <w:tcPr>
            <w:tcW w:w="4428" w:type="dxa"/>
            <w:shd w:val="clear" w:color="auto" w:fill="auto"/>
          </w:tcPr>
          <w:p w14:paraId="63F5F597"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 xml:space="preserve">5 </w:t>
            </w:r>
            <w:proofErr w:type="spellStart"/>
            <w:r w:rsidRPr="001D75F7">
              <w:rPr>
                <w:sz w:val="20"/>
                <w:szCs w:val="20"/>
                <w:lang w:val="en-GB"/>
              </w:rPr>
              <w:t>dBi</w:t>
            </w:r>
            <w:proofErr w:type="spellEnd"/>
          </w:p>
        </w:tc>
      </w:tr>
      <w:tr w:rsidR="001D75F7" w:rsidRPr="001D75F7" w14:paraId="236433F1" w14:textId="77777777" w:rsidTr="00817727">
        <w:trPr>
          <w:jc w:val="center"/>
        </w:trPr>
        <w:tc>
          <w:tcPr>
            <w:tcW w:w="4428" w:type="dxa"/>
            <w:shd w:val="clear" w:color="auto" w:fill="auto"/>
          </w:tcPr>
          <w:p w14:paraId="18EB846A"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lang w:val="en-GB"/>
              </w:rPr>
            </w:pPr>
            <w:r w:rsidRPr="001D75F7">
              <w:rPr>
                <w:sz w:val="20"/>
                <w:szCs w:val="20"/>
                <w:lang w:val="en-GB"/>
              </w:rPr>
              <w:t xml:space="preserve">Receive Antenna Gain/Noise Temperature (G/T) </w:t>
            </w:r>
          </w:p>
        </w:tc>
        <w:tc>
          <w:tcPr>
            <w:tcW w:w="4428" w:type="dxa"/>
            <w:shd w:val="clear" w:color="auto" w:fill="auto"/>
          </w:tcPr>
          <w:p w14:paraId="1E43A02A" w14:textId="77777777" w:rsidR="001D75F7" w:rsidRPr="001D75F7" w:rsidRDefault="001D75F7" w:rsidP="001D75F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lang w:val="en-GB"/>
              </w:rPr>
            </w:pPr>
            <w:r w:rsidRPr="001D75F7">
              <w:rPr>
                <w:sz w:val="20"/>
                <w:szCs w:val="20"/>
                <w:lang w:val="en-GB"/>
              </w:rPr>
              <w:t>-20 dB/K</w:t>
            </w:r>
          </w:p>
        </w:tc>
      </w:tr>
    </w:tbl>
    <w:p w14:paraId="56295F5E" w14:textId="77777777" w:rsidR="001D75F7" w:rsidRPr="001D75F7" w:rsidRDefault="001D75F7" w:rsidP="001D75F7">
      <w:pPr>
        <w:tabs>
          <w:tab w:val="left" w:pos="1134"/>
          <w:tab w:val="left" w:pos="1871"/>
          <w:tab w:val="left" w:pos="2268"/>
        </w:tabs>
        <w:overflowPunct w:val="0"/>
        <w:autoSpaceDE w:val="0"/>
        <w:autoSpaceDN w:val="0"/>
        <w:adjustRightInd w:val="0"/>
        <w:textAlignment w:val="baseline"/>
        <w:rPr>
          <w:rFonts w:eastAsia="MS Mincho"/>
          <w:sz w:val="20"/>
          <w:szCs w:val="20"/>
          <w:lang w:val="en-GB"/>
        </w:rPr>
      </w:pPr>
    </w:p>
    <w:p w14:paraId="0C3C898B"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sz w:val="28"/>
          <w:szCs w:val="20"/>
          <w:lang w:val="en-GB"/>
        </w:rPr>
      </w:pPr>
      <w:r w:rsidRPr="001D75F7">
        <w:rPr>
          <w:b/>
          <w:sz w:val="28"/>
          <w:szCs w:val="20"/>
          <w:lang w:val="en-GB"/>
        </w:rPr>
        <w:t>4</w:t>
      </w:r>
      <w:r w:rsidRPr="001D75F7">
        <w:rPr>
          <w:b/>
          <w:sz w:val="28"/>
          <w:szCs w:val="20"/>
          <w:lang w:val="en-GB"/>
        </w:rPr>
        <w:tab/>
        <w:t>Using space-to-space links in MSS allocations</w:t>
      </w:r>
    </w:p>
    <w:p w14:paraId="09755EA9"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 xml:space="preserve">The current MSS allocations in 1 – 3 GHz do not include a space-to-space directional indicator. As a consequence, such operations may be conducted only on a non-interference basis, relying on </w:t>
      </w:r>
      <w:r w:rsidRPr="001D75F7">
        <w:rPr>
          <w:bCs/>
          <w:szCs w:val="20"/>
          <w:lang w:val="en-GB"/>
        </w:rPr>
        <w:t>No.</w:t>
      </w:r>
      <w:r w:rsidRPr="001D75F7">
        <w:rPr>
          <w:b/>
          <w:szCs w:val="20"/>
          <w:lang w:val="en-GB"/>
        </w:rPr>
        <w:t> </w:t>
      </w:r>
      <w:r w:rsidRPr="001D75F7">
        <w:rPr>
          <w:b/>
          <w:bCs/>
          <w:szCs w:val="20"/>
          <w:lang w:val="en-GB"/>
        </w:rPr>
        <w:t>4.4</w:t>
      </w:r>
      <w:r w:rsidRPr="001D75F7">
        <w:rPr>
          <w:szCs w:val="20"/>
          <w:lang w:val="en-GB"/>
        </w:rPr>
        <w:t xml:space="preserve"> of the Radio Regulations. Given the interest in such space-to-space operations, reliance on </w:t>
      </w:r>
      <w:r w:rsidRPr="001D75F7">
        <w:rPr>
          <w:bCs/>
          <w:szCs w:val="20"/>
          <w:lang w:val="en-GB"/>
        </w:rPr>
        <w:t>No.</w:t>
      </w:r>
      <w:r w:rsidRPr="001D75F7">
        <w:rPr>
          <w:b/>
          <w:szCs w:val="20"/>
          <w:lang w:val="en-GB"/>
        </w:rPr>
        <w:t xml:space="preserve"> </w:t>
      </w:r>
      <w:r w:rsidRPr="001D75F7">
        <w:rPr>
          <w:b/>
          <w:bCs/>
          <w:szCs w:val="20"/>
          <w:lang w:val="en-GB"/>
        </w:rPr>
        <w:t>4.4</w:t>
      </w:r>
      <w:r w:rsidRPr="001D75F7">
        <w:rPr>
          <w:szCs w:val="20"/>
          <w:lang w:val="en-GB"/>
        </w:rPr>
        <w:t xml:space="preserve"> of the Radio Regulations provides an unsound basis for continued development of such systems seeking to use such equipment. Further actions may be needed to develop solutions, including consideration of amendments to the Radio Regulations, which would require the action of a competent World Radiocommunication Conference (WRC).</w:t>
      </w:r>
    </w:p>
    <w:p w14:paraId="76BD1F9B"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The total number of small satellites, including CubeSats, being deployed annually has increased significantly in recent years. In early 2017, for example, an Indian Space Research organization launch vehicle deployed over 100 small satellites into orbit in a single launch.</w:t>
      </w:r>
      <w:r w:rsidRPr="001D75F7">
        <w:rPr>
          <w:position w:val="6"/>
          <w:sz w:val="18"/>
          <w:szCs w:val="20"/>
          <w:lang w:val="en-GB"/>
        </w:rPr>
        <w:footnoteReference w:id="3"/>
      </w:r>
      <w:r w:rsidRPr="001D75F7">
        <w:rPr>
          <w:szCs w:val="20"/>
          <w:lang w:val="en-GB"/>
        </w:rPr>
        <w:t xml:space="preserve"> One forecast estimates that between 2017 and 2023, nearly 2 400 satellites with masses between 1 and 50 kg will be launched.</w:t>
      </w:r>
    </w:p>
    <w:p w14:paraId="50726F93"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sz w:val="28"/>
          <w:szCs w:val="20"/>
          <w:lang w:val="en-GB"/>
        </w:rPr>
      </w:pPr>
      <w:r w:rsidRPr="001D75F7">
        <w:rPr>
          <w:b/>
          <w:sz w:val="28"/>
          <w:szCs w:val="20"/>
          <w:lang w:val="en-GB"/>
        </w:rPr>
        <w:t>5</w:t>
      </w:r>
      <w:r w:rsidRPr="001D75F7">
        <w:rPr>
          <w:b/>
          <w:sz w:val="28"/>
          <w:szCs w:val="20"/>
          <w:lang w:val="en-GB"/>
        </w:rPr>
        <w:tab/>
        <w:t>Compatibility with other services</w:t>
      </w:r>
    </w:p>
    <w:p w14:paraId="512F3464"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
          <w:szCs w:val="20"/>
          <w:lang w:val="en-GB"/>
        </w:rPr>
      </w:pPr>
      <w:r w:rsidRPr="001D75F7">
        <w:rPr>
          <w:b/>
          <w:szCs w:val="20"/>
          <w:lang w:val="en-GB"/>
        </w:rPr>
        <w:t>5.1</w:t>
      </w:r>
      <w:r w:rsidRPr="001D75F7">
        <w:rPr>
          <w:b/>
          <w:szCs w:val="20"/>
          <w:lang w:val="en-GB"/>
        </w:rPr>
        <w:tab/>
        <w:t>Space-to-space links in the bands 1 610-1 626.5 MHz and 2 483.5-2 500 MHz</w:t>
      </w:r>
    </w:p>
    <w:p w14:paraId="1AF9BFF0"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 xml:space="preserve">The allocated services in the 1 610-1 626.5 MHz band include the MSS and the Radio Astronomy Service (RAS). The MSS system that operates with </w:t>
      </w:r>
      <w:proofErr w:type="spellStart"/>
      <w:r w:rsidRPr="001D75F7">
        <w:rPr>
          <w:szCs w:val="20"/>
          <w:lang w:val="en-GB"/>
        </w:rPr>
        <w:t>Cubesats</w:t>
      </w:r>
      <w:proofErr w:type="spellEnd"/>
      <w:r w:rsidRPr="001D75F7">
        <w:rPr>
          <w:szCs w:val="20"/>
          <w:lang w:val="en-GB"/>
        </w:rPr>
        <w:t xml:space="preserve"> within these bands has the technical characteristics specified for the HIBLEO-4 and HIBLEO-X systems.</w:t>
      </w:r>
    </w:p>
    <w:p w14:paraId="7A452B55"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According to Recommendation ITU-R RA.769-2, a power flux density of no more than –238 dB(W/(m</w:t>
      </w:r>
      <w:r w:rsidRPr="001D75F7">
        <w:rPr>
          <w:szCs w:val="20"/>
          <w:vertAlign w:val="superscript"/>
          <w:lang w:val="en-GB"/>
        </w:rPr>
        <w:t>2</w:t>
      </w:r>
      <w:r w:rsidRPr="001D75F7">
        <w:rPr>
          <w:szCs w:val="20"/>
          <w:lang w:val="en-GB"/>
        </w:rPr>
        <w:t xml:space="preserve"> · Hz)) is allowed at 1 612 MHz at a Radio Astronomy Observatory. The transmit only terminal has worse out-of-band emissions as compared to the duplex terminals. At the CubeSat, the emissions at 1 612 MHz, from a transmit-only terminal, are –119.3 </w:t>
      </w:r>
      <w:proofErr w:type="spellStart"/>
      <w:r w:rsidRPr="001D75F7">
        <w:rPr>
          <w:szCs w:val="20"/>
          <w:lang w:val="en-GB"/>
        </w:rPr>
        <w:t>dBW</w:t>
      </w:r>
      <w:proofErr w:type="spellEnd"/>
      <w:r w:rsidRPr="001D75F7">
        <w:rPr>
          <w:szCs w:val="20"/>
          <w:lang w:val="en-GB"/>
        </w:rPr>
        <w:t xml:space="preserve">/Hz </w:t>
      </w:r>
      <w:proofErr w:type="spellStart"/>
      <w:r w:rsidRPr="001D75F7">
        <w:rPr>
          <w:szCs w:val="20"/>
          <w:lang w:val="en-GB"/>
        </w:rPr>
        <w:t>e.i.r.p</w:t>
      </w:r>
      <w:proofErr w:type="spellEnd"/>
      <w:r w:rsidRPr="001D75F7">
        <w:rPr>
          <w:szCs w:val="20"/>
          <w:lang w:val="en-GB"/>
        </w:rPr>
        <w:t>. The nominal altitude of the CubeSat is 400 km implying a “spreading loss” of 123 dB/m</w:t>
      </w:r>
      <w:r w:rsidRPr="001D75F7">
        <w:rPr>
          <w:szCs w:val="20"/>
          <w:vertAlign w:val="superscript"/>
          <w:lang w:val="en-GB"/>
        </w:rPr>
        <w:t>2</w:t>
      </w:r>
      <w:r w:rsidRPr="001D75F7">
        <w:rPr>
          <w:szCs w:val="20"/>
          <w:lang w:val="en-GB"/>
        </w:rPr>
        <w:t xml:space="preserve">. </w:t>
      </w:r>
      <w:r w:rsidRPr="001D75F7">
        <w:rPr>
          <w:szCs w:val="20"/>
          <w:lang w:val="en-GB"/>
        </w:rPr>
        <w:lastRenderedPageBreak/>
        <w:t xml:space="preserve">Combining these numbers, the power flux density on the ground at 1 612 MHz is no more than </w:t>
      </w:r>
      <w:r w:rsidRPr="001D75F7">
        <w:rPr>
          <w:szCs w:val="20"/>
          <w:lang w:val="en-GB"/>
        </w:rPr>
        <w:br/>
        <w:t>–242.3 dB(W/(m</w:t>
      </w:r>
      <w:r w:rsidRPr="001D75F7">
        <w:rPr>
          <w:szCs w:val="20"/>
          <w:vertAlign w:val="superscript"/>
          <w:lang w:val="en-GB"/>
        </w:rPr>
        <w:t>2</w:t>
      </w:r>
      <w:r w:rsidRPr="001D75F7">
        <w:rPr>
          <w:szCs w:val="20"/>
          <w:lang w:val="en-GB"/>
        </w:rPr>
        <w:t xml:space="preserve"> · Hz)). Operations at lower altitudes have occurred, and could exceed the recommended power flux density, if conducted within the RAS band at 1 610.6-1 613.8 </w:t>
      </w:r>
      <w:proofErr w:type="spellStart"/>
      <w:r w:rsidRPr="001D75F7">
        <w:rPr>
          <w:szCs w:val="20"/>
          <w:lang w:val="en-GB"/>
        </w:rPr>
        <w:t>MHz.</w:t>
      </w:r>
      <w:proofErr w:type="spellEnd"/>
      <w:r w:rsidRPr="001D75F7">
        <w:rPr>
          <w:szCs w:val="20"/>
          <w:lang w:val="en-GB"/>
        </w:rPr>
        <w:t xml:space="preserve"> Due consideration of the potential for interference to the Radio Astronomy Service needs to be an integral part of the regulation of these small satellite systems. </w:t>
      </w:r>
    </w:p>
    <w:p w14:paraId="4A9C5137"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color w:val="000000"/>
          <w:szCs w:val="20"/>
          <w:shd w:val="clear" w:color="auto" w:fill="FFFFFF"/>
          <w:lang w:val="en-GB"/>
        </w:rPr>
      </w:pPr>
      <w:r w:rsidRPr="001D75F7">
        <w:rPr>
          <w:szCs w:val="20"/>
          <w:lang w:val="en-GB"/>
        </w:rPr>
        <w:t>The use on board CubeSats of terminals developed for MSS may not be compatible with other MSS systems. Consequently, in bands where multiple MSS systems may operate, technical, operational, and coordination approaches are required to permit CubeSat use and ensure compatibility.</w:t>
      </w:r>
    </w:p>
    <w:p w14:paraId="69E49633"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color w:val="000000"/>
          <w:szCs w:val="20"/>
          <w:shd w:val="clear" w:color="auto" w:fill="FFFFFF"/>
          <w:lang w:val="en-GB"/>
        </w:rPr>
        <w:t xml:space="preserve">An example of why these approaches are necessary to ensure compatibility with other MSS systems is provided here. Another MSS system utilizing portions of the 1 610-1 626.5 MHz band is the HIBLEO-2 system. Its technical characteristics are used in the following example. </w:t>
      </w:r>
      <w:r w:rsidRPr="001D75F7">
        <w:rPr>
          <w:szCs w:val="20"/>
          <w:lang w:val="en-GB"/>
        </w:rPr>
        <w:t xml:space="preserve">Assuming a 6% </w:t>
      </w:r>
      <w:r w:rsidRPr="001D75F7">
        <w:rPr>
          <w:rFonts w:ascii="Symbol" w:hAnsi="Symbol"/>
          <w:szCs w:val="20"/>
          <w:lang w:val="en-GB"/>
        </w:rPr>
        <w:t></w:t>
      </w:r>
      <w:r w:rsidRPr="001D75F7">
        <w:rPr>
          <w:i/>
          <w:iCs/>
          <w:szCs w:val="20"/>
          <w:lang w:val="en-GB"/>
        </w:rPr>
        <w:t>T/T</w:t>
      </w:r>
      <w:r w:rsidRPr="001D75F7">
        <w:rPr>
          <w:szCs w:val="20"/>
          <w:lang w:val="en-GB"/>
        </w:rPr>
        <w:t xml:space="preserve"> as the interference threshold as the criterion for acceptable interference at an MSS spacecraft receiver, this corresponds approximately to a level of –167.6 </w:t>
      </w:r>
      <w:proofErr w:type="spellStart"/>
      <w:r w:rsidRPr="001D75F7">
        <w:rPr>
          <w:szCs w:val="20"/>
          <w:lang w:val="en-GB"/>
        </w:rPr>
        <w:t>dBW</w:t>
      </w:r>
      <w:proofErr w:type="spellEnd"/>
      <w:r w:rsidRPr="001D75F7">
        <w:rPr>
          <w:szCs w:val="20"/>
          <w:lang w:val="en-GB"/>
        </w:rPr>
        <w:t xml:space="preserve"> at a HIBLEO-2 spacecraft. The nominal altitude of the HIBLEO-2 constellation is 780 km. The results in an altitude difference of 380 km between the CubeSat and a HIBLEO-2 spacecraft and corresponds to a path loss of 148.2 </w:t>
      </w:r>
      <w:proofErr w:type="spellStart"/>
      <w:r w:rsidRPr="001D75F7">
        <w:rPr>
          <w:szCs w:val="20"/>
          <w:lang w:val="en-GB"/>
        </w:rPr>
        <w:t>dB.</w:t>
      </w:r>
      <w:proofErr w:type="spellEnd"/>
      <w:r w:rsidRPr="001D75F7">
        <w:rPr>
          <w:szCs w:val="20"/>
          <w:lang w:val="en-GB"/>
        </w:rPr>
        <w:t xml:space="preserve"> The </w:t>
      </w:r>
      <w:proofErr w:type="spellStart"/>
      <w:r w:rsidRPr="001D75F7">
        <w:rPr>
          <w:szCs w:val="20"/>
          <w:lang w:val="en-GB"/>
        </w:rPr>
        <w:t>e.i.r.p</w:t>
      </w:r>
      <w:proofErr w:type="spellEnd"/>
      <w:r w:rsidRPr="001D75F7">
        <w:rPr>
          <w:szCs w:val="20"/>
          <w:lang w:val="en-GB"/>
        </w:rPr>
        <w:t xml:space="preserve">. towards a HIBLEO-2 spacecraft from a CubeSat is –0.1 </w:t>
      </w:r>
      <w:proofErr w:type="spellStart"/>
      <w:r w:rsidRPr="001D75F7">
        <w:rPr>
          <w:szCs w:val="20"/>
          <w:lang w:val="en-GB"/>
        </w:rPr>
        <w:t>dBW</w:t>
      </w:r>
      <w:proofErr w:type="spellEnd"/>
      <w:r w:rsidRPr="001D75F7">
        <w:rPr>
          <w:szCs w:val="20"/>
          <w:lang w:val="en-GB"/>
        </w:rPr>
        <w:t>, taken as 0 </w:t>
      </w:r>
      <w:proofErr w:type="spellStart"/>
      <w:r w:rsidRPr="001D75F7">
        <w:rPr>
          <w:szCs w:val="20"/>
          <w:lang w:val="en-GB"/>
        </w:rPr>
        <w:t>dBW</w:t>
      </w:r>
      <w:proofErr w:type="spellEnd"/>
      <w:r w:rsidRPr="001D75F7">
        <w:rPr>
          <w:szCs w:val="20"/>
          <w:lang w:val="en-GB"/>
        </w:rPr>
        <w:t xml:space="preserve">. Taking into account a bandwidth differential between the 1.23 MHz CubeSat carrier and the 41.7 kHz HIBLEO-2 receive bandwidth, the resulting CubeSat power at the HIBLEO-2 spacecraft is </w:t>
      </w:r>
      <w:r w:rsidRPr="001D75F7">
        <w:rPr>
          <w:szCs w:val="20"/>
          <w:lang w:val="en-GB"/>
        </w:rPr>
        <w:noBreakHyphen/>
        <w:t xml:space="preserve">139.9 </w:t>
      </w:r>
      <w:proofErr w:type="spellStart"/>
      <w:r w:rsidRPr="001D75F7">
        <w:rPr>
          <w:szCs w:val="20"/>
          <w:lang w:val="en-GB"/>
        </w:rPr>
        <w:t>dBW</w:t>
      </w:r>
      <w:proofErr w:type="spellEnd"/>
      <w:r w:rsidRPr="001D75F7">
        <w:rPr>
          <w:szCs w:val="20"/>
          <w:lang w:val="en-GB"/>
        </w:rPr>
        <w:t xml:space="preserve">, assuming a HIBLEO-2 typical receive antenna gain of 23.0 </w:t>
      </w:r>
      <w:proofErr w:type="spellStart"/>
      <w:r w:rsidRPr="001D75F7">
        <w:rPr>
          <w:szCs w:val="20"/>
          <w:lang w:val="en-GB"/>
        </w:rPr>
        <w:t>dBi</w:t>
      </w:r>
      <w:proofErr w:type="spellEnd"/>
      <w:r w:rsidRPr="001D75F7">
        <w:rPr>
          <w:szCs w:val="20"/>
          <w:lang w:val="en-GB"/>
        </w:rPr>
        <w:t xml:space="preserve">. This interference results in an </w:t>
      </w:r>
      <w:r w:rsidRPr="001D75F7">
        <w:rPr>
          <w:i/>
          <w:iCs/>
          <w:szCs w:val="20"/>
          <w:lang w:val="en-GB"/>
        </w:rPr>
        <w:t>I/N</w:t>
      </w:r>
      <w:r w:rsidRPr="001D75F7">
        <w:rPr>
          <w:szCs w:val="20"/>
          <w:lang w:val="en-GB"/>
        </w:rPr>
        <w:t xml:space="preserve"> = +15.5 dB, well above the interference threshold, indicating that the proposed co</w:t>
      </w:r>
      <w:r w:rsidRPr="001D75F7">
        <w:rPr>
          <w:szCs w:val="20"/>
          <w:lang w:val="en-GB"/>
        </w:rPr>
        <w:noBreakHyphen/>
        <w:t>frequency use of this band by CubeSats will not be compatible with the HIBLEO-2 system.</w:t>
      </w:r>
    </w:p>
    <w:p w14:paraId="01631FF6"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Operations occurring to date have been limited to segments of the 1 610-1 626.5 MHz band that are not co-frequency with the RAS, and have followed existing band segmentation arrangements involving the HIBLEO-2 network, thereby avoiding co-frequency operations. The characteristics of such operations are listed above in the Table in Section 4.</w:t>
      </w:r>
    </w:p>
    <w:p w14:paraId="52CDD664"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With respect to the 2 483.5-2 500 MHz, the link from the MSS system to CubeSats is indistinguishable in its characteristic from the technical characteristics of the HIBLEO-4 and HIBLEO-X networks.</w:t>
      </w:r>
    </w:p>
    <w:p w14:paraId="3DA692BF"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00"/>
        <w:ind w:left="1134" w:hanging="1134"/>
        <w:textAlignment w:val="baseline"/>
        <w:outlineLvl w:val="1"/>
        <w:rPr>
          <w:b/>
          <w:szCs w:val="20"/>
          <w:lang w:val="en-GB"/>
        </w:rPr>
      </w:pPr>
      <w:r w:rsidRPr="001D75F7">
        <w:rPr>
          <w:b/>
          <w:szCs w:val="20"/>
          <w:lang w:val="en-GB"/>
        </w:rPr>
        <w:t>5.2</w:t>
      </w:r>
      <w:r w:rsidRPr="001D75F7">
        <w:rPr>
          <w:b/>
          <w:szCs w:val="20"/>
          <w:lang w:val="en-GB"/>
        </w:rPr>
        <w:tab/>
        <w:t>Space-to-space links in the bands 1 518-1 559 MHz, 1 626.5-1 660.5 and 1 668</w:t>
      </w:r>
      <w:r w:rsidRPr="001D75F7">
        <w:rPr>
          <w:b/>
          <w:szCs w:val="20"/>
          <w:lang w:val="en-GB"/>
        </w:rPr>
        <w:noBreakHyphen/>
        <w:t>1 675 MHz</w:t>
      </w:r>
    </w:p>
    <w:p w14:paraId="3A587537"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 xml:space="preserve">These frequency bands are shared among GSO MSS operators and generally inter-operator coordination issues are managed through regular multi-lateral coordination meetings, through a process agreed among the relevant Administrations. The frequencies available to any particular operator are defined for different geographic areas and hence the LEO spacecraft terminal may have to switch frequencies during the orbit or utilize a single frequency available globally.  </w:t>
      </w:r>
    </w:p>
    <w:p w14:paraId="6E9591EC"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Any potential changes to the RR in these bands should be based on operation of LEO spacecraft with GSO MSS networks and should ensure that harmful interference is not caused to those GSO networks.</w:t>
      </w:r>
    </w:p>
    <w:p w14:paraId="7B0C0DDB"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 xml:space="preserve">Regarding the uplink bands, 1 626.5-1 660.5 MHz and 1 668-1 675 MHz, some parts of these bands are shared with the RAS, </w:t>
      </w:r>
      <w:proofErr w:type="spellStart"/>
      <w:r w:rsidRPr="001D75F7">
        <w:rPr>
          <w:szCs w:val="20"/>
          <w:lang w:val="en-GB"/>
        </w:rPr>
        <w:t>MetAids</w:t>
      </w:r>
      <w:proofErr w:type="spellEnd"/>
      <w:r w:rsidRPr="001D75F7">
        <w:rPr>
          <w:szCs w:val="20"/>
          <w:lang w:val="en-GB"/>
        </w:rPr>
        <w:t>, the fixed service, the mobile service and the meteorological</w:t>
      </w:r>
      <w:r w:rsidRPr="001D75F7">
        <w:rPr>
          <w:szCs w:val="20"/>
          <w:lang w:val="en-GB"/>
        </w:rPr>
        <w:noBreakHyphen/>
        <w:t xml:space="preserve">satellite service. In general, the operation of terminals on board a LEO spacecraft </w:t>
      </w:r>
      <w:r w:rsidRPr="001D75F7">
        <w:rPr>
          <w:szCs w:val="20"/>
          <w:lang w:val="en-GB"/>
        </w:rPr>
        <w:lastRenderedPageBreak/>
        <w:t>represents a more benign sharing situation with respect to these services compared with the operation of other MSS applications in these bands, including aircraft terminals. Therefore, no significant interference issues to other services are anticipated.</w:t>
      </w:r>
    </w:p>
    <w:p w14:paraId="187C85F8" w14:textId="77777777" w:rsidR="001D75F7" w:rsidRPr="001D75F7" w:rsidRDefault="001D75F7" w:rsidP="001D75F7">
      <w:pPr>
        <w:keepNext/>
        <w:keepLines/>
        <w:tabs>
          <w:tab w:val="left" w:pos="1134"/>
          <w:tab w:val="left" w:pos="1871"/>
          <w:tab w:val="left" w:pos="2268"/>
        </w:tabs>
        <w:overflowPunct w:val="0"/>
        <w:autoSpaceDE w:val="0"/>
        <w:autoSpaceDN w:val="0"/>
        <w:adjustRightInd w:val="0"/>
        <w:spacing w:before="280"/>
        <w:ind w:left="1134" w:hanging="1134"/>
        <w:textAlignment w:val="baseline"/>
        <w:outlineLvl w:val="0"/>
        <w:rPr>
          <w:b/>
          <w:sz w:val="28"/>
          <w:szCs w:val="20"/>
          <w:lang w:val="en-GB"/>
        </w:rPr>
      </w:pPr>
      <w:r w:rsidRPr="001D75F7">
        <w:rPr>
          <w:b/>
          <w:sz w:val="28"/>
          <w:szCs w:val="20"/>
          <w:lang w:val="en-GB"/>
        </w:rPr>
        <w:t>6</w:t>
      </w:r>
      <w:r w:rsidRPr="001D75F7">
        <w:rPr>
          <w:b/>
          <w:sz w:val="28"/>
          <w:szCs w:val="20"/>
          <w:lang w:val="en-GB"/>
        </w:rPr>
        <w:tab/>
        <w:t>Summary</w:t>
      </w:r>
    </w:p>
    <w:p w14:paraId="7C2C34DC" w14:textId="77777777" w:rsidR="001D75F7" w:rsidRPr="001D75F7" w:rsidRDefault="001D75F7" w:rsidP="001D75F7">
      <w:pPr>
        <w:keepLines/>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The missions described above involved the use of existing HIBLEO-4/X and GSO MSS satellite systems for communications links to and from CubeSats and other LEO spacecraft. The use of such systems holds the potential to provide an alternative to the use of other frequency bands that may be available for CubeSats operations, and may provide a higher level of throughput, availability and reliability to the missions.</w:t>
      </w:r>
    </w:p>
    <w:p w14:paraId="46F4DDD9" w14:textId="77777777" w:rsidR="001D75F7" w:rsidRPr="001D75F7" w:rsidRDefault="001D75F7" w:rsidP="001D75F7">
      <w:pPr>
        <w:spacing w:before="120"/>
        <w:rPr>
          <w:rFonts w:eastAsia="MS Mincho"/>
          <w:lang w:val="en-GB"/>
        </w:rPr>
      </w:pPr>
      <w:r w:rsidRPr="001D75F7">
        <w:rPr>
          <w:rFonts w:eastAsia="MS Mincho"/>
          <w:lang w:val="en-GB"/>
        </w:rPr>
        <w:t>The use on board LEO spacecraft of radio equipment developed for this purpose, needs to maintain compatibility with other MSS systems and other services. Consequently, technical, operational, and coordination approaches are required to permit the use of space-to-space links and ensure compatibility.</w:t>
      </w:r>
    </w:p>
    <w:p w14:paraId="3AEFA679"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r w:rsidRPr="001D75F7">
        <w:rPr>
          <w:szCs w:val="20"/>
          <w:lang w:val="en-GB"/>
        </w:rPr>
        <w:t>Operations occurring to date have been limited to segments of the MSS allocations in the 1-3 GHz range that are not co-frequency with other services and have followed existing band segmentation arrangements involving the MSS systems and networks, thereby avoiding co-frequency operations.</w:t>
      </w:r>
    </w:p>
    <w:p w14:paraId="16D2453A" w14:textId="77777777" w:rsidR="001D75F7" w:rsidRPr="001D75F7" w:rsidRDefault="001D75F7" w:rsidP="001D75F7">
      <w:pPr>
        <w:tabs>
          <w:tab w:val="left" w:pos="1134"/>
          <w:tab w:val="left" w:pos="1871"/>
          <w:tab w:val="left" w:pos="2268"/>
        </w:tabs>
        <w:overflowPunct w:val="0"/>
        <w:autoSpaceDE w:val="0"/>
        <w:autoSpaceDN w:val="0"/>
        <w:adjustRightInd w:val="0"/>
        <w:spacing w:before="120"/>
        <w:textAlignment w:val="baseline"/>
        <w:rPr>
          <w:szCs w:val="20"/>
          <w:lang w:val="en-GB"/>
        </w:rPr>
      </w:pPr>
    </w:p>
    <w:p w14:paraId="1BB690AC" w14:textId="77777777" w:rsidR="001D75F7" w:rsidRPr="001D75F7" w:rsidRDefault="001D75F7" w:rsidP="001D75F7">
      <w:pPr>
        <w:tabs>
          <w:tab w:val="left" w:pos="1134"/>
          <w:tab w:val="left" w:pos="1588"/>
          <w:tab w:val="left" w:pos="1985"/>
        </w:tabs>
        <w:overflowPunct w:val="0"/>
        <w:autoSpaceDE w:val="0"/>
        <w:autoSpaceDN w:val="0"/>
        <w:adjustRightInd w:val="0"/>
        <w:spacing w:before="120"/>
        <w:textAlignment w:val="baseline"/>
        <w:rPr>
          <w:szCs w:val="20"/>
          <w:lang w:val="en-GB"/>
        </w:rPr>
      </w:pPr>
    </w:p>
    <w:p w14:paraId="45D8DEB7" w14:textId="77777777" w:rsidR="001D75F7" w:rsidRPr="001D75F7" w:rsidRDefault="001D75F7" w:rsidP="001D75F7">
      <w:pPr>
        <w:tabs>
          <w:tab w:val="left" w:pos="1134"/>
          <w:tab w:val="left" w:pos="1871"/>
          <w:tab w:val="left" w:pos="2268"/>
        </w:tabs>
        <w:overflowPunct w:val="0"/>
        <w:autoSpaceDE w:val="0"/>
        <w:autoSpaceDN w:val="0"/>
        <w:adjustRightInd w:val="0"/>
        <w:spacing w:before="120"/>
        <w:jc w:val="center"/>
        <w:textAlignment w:val="baseline"/>
        <w:rPr>
          <w:szCs w:val="20"/>
          <w:lang w:val="en-GB"/>
        </w:rPr>
      </w:pPr>
      <w:r w:rsidRPr="001D75F7">
        <w:rPr>
          <w:szCs w:val="20"/>
          <w:lang w:val="en-GB"/>
        </w:rPr>
        <w:t>______________</w:t>
      </w:r>
    </w:p>
    <w:p w14:paraId="1CF4BCFA" w14:textId="77777777" w:rsidR="001D75F7" w:rsidRPr="001D75F7" w:rsidRDefault="001D75F7" w:rsidP="001D75F7"/>
    <w:p w14:paraId="1F0C4167" w14:textId="77777777" w:rsidR="00C26B2F" w:rsidRPr="008D0C4E" w:rsidRDefault="00C26B2F" w:rsidP="00C26B2F">
      <w:pPr>
        <w:pStyle w:val="TabletitleBR"/>
        <w:rPr>
          <w:b w:val="0"/>
          <w:bCs/>
        </w:rPr>
      </w:pPr>
      <w:r w:rsidRPr="008D0C4E">
        <w:rPr>
          <w:b w:val="0"/>
          <w:bCs/>
        </w:rPr>
        <w:lastRenderedPageBreak/>
        <w:t xml:space="preserve">EXCERPT OF RELEVANT CHARACTERISTICS FROM </w:t>
      </w:r>
    </w:p>
    <w:p w14:paraId="3435DE3E" w14:textId="77777777" w:rsidR="00C26B2F" w:rsidRPr="008D0C4E" w:rsidRDefault="00C26B2F" w:rsidP="00C26B2F">
      <w:pPr>
        <w:pStyle w:val="TabletitleBR"/>
        <w:rPr>
          <w:b w:val="0"/>
          <w:bCs/>
        </w:rPr>
      </w:pPr>
      <w:r w:rsidRPr="008D0C4E">
        <w:rPr>
          <w:b w:val="0"/>
          <w:bCs/>
        </w:rPr>
        <w:t>RECOMMENDATION ITU-R M.1184</w:t>
      </w:r>
    </w:p>
    <w:tbl>
      <w:tblPr>
        <w:tblW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63"/>
        <w:gridCol w:w="1235"/>
        <w:gridCol w:w="1398"/>
      </w:tblGrid>
      <w:tr w:rsidR="00C26B2F" w:rsidRPr="00981869" w14:paraId="43FFD419" w14:textId="77777777" w:rsidTr="00147AA9">
        <w:trPr>
          <w:cantSplit/>
        </w:trPr>
        <w:tc>
          <w:tcPr>
            <w:tcW w:w="1933" w:type="pct"/>
            <w:vMerge w:val="restart"/>
          </w:tcPr>
          <w:p w14:paraId="119BB17D"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b/>
                <w:sz w:val="20"/>
                <w:szCs w:val="20"/>
                <w:lang w:val="fr-FR"/>
              </w:rPr>
            </w:pPr>
          </w:p>
        </w:tc>
        <w:tc>
          <w:tcPr>
            <w:tcW w:w="882" w:type="pct"/>
            <w:vMerge w:val="restart"/>
            <w:vAlign w:val="center"/>
          </w:tcPr>
          <w:p w14:paraId="1CF4CE65"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b/>
                <w:sz w:val="20"/>
                <w:szCs w:val="20"/>
                <w:lang w:val="es-ES_tradnl"/>
              </w:rPr>
            </w:pPr>
            <w:r w:rsidRPr="00981869">
              <w:rPr>
                <w:b/>
                <w:sz w:val="20"/>
                <w:szCs w:val="20"/>
                <w:lang w:val="es-ES_tradnl"/>
              </w:rPr>
              <w:t>C</w:t>
            </w:r>
          </w:p>
        </w:tc>
        <w:tc>
          <w:tcPr>
            <w:tcW w:w="2185" w:type="pct"/>
            <w:gridSpan w:val="2"/>
            <w:vAlign w:val="center"/>
          </w:tcPr>
          <w:p w14:paraId="769EC531"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b/>
                <w:sz w:val="20"/>
                <w:szCs w:val="20"/>
                <w:lang w:val="es-ES_tradnl"/>
              </w:rPr>
            </w:pPr>
            <w:r w:rsidRPr="00981869">
              <w:rPr>
                <w:b/>
                <w:sz w:val="20"/>
                <w:szCs w:val="20"/>
                <w:lang w:val="es-ES_tradnl"/>
              </w:rPr>
              <w:t xml:space="preserve">Maritime </w:t>
            </w:r>
          </w:p>
        </w:tc>
      </w:tr>
      <w:tr w:rsidR="00C26B2F" w:rsidRPr="00981869" w14:paraId="789E7C08" w14:textId="77777777" w:rsidTr="00147AA9">
        <w:trPr>
          <w:cantSplit/>
        </w:trPr>
        <w:tc>
          <w:tcPr>
            <w:tcW w:w="1933" w:type="pct"/>
            <w:vMerge/>
          </w:tcPr>
          <w:p w14:paraId="4878A11E"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b/>
                <w:sz w:val="20"/>
                <w:szCs w:val="20"/>
              </w:rPr>
            </w:pPr>
          </w:p>
        </w:tc>
        <w:tc>
          <w:tcPr>
            <w:tcW w:w="882" w:type="pct"/>
            <w:vMerge/>
          </w:tcPr>
          <w:p w14:paraId="56C9D42A"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b/>
                <w:sz w:val="20"/>
                <w:szCs w:val="20"/>
              </w:rPr>
            </w:pPr>
          </w:p>
        </w:tc>
        <w:tc>
          <w:tcPr>
            <w:tcW w:w="1025" w:type="pct"/>
          </w:tcPr>
          <w:p w14:paraId="17DD280D"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b/>
                <w:sz w:val="20"/>
                <w:szCs w:val="20"/>
              </w:rPr>
            </w:pPr>
            <w:r w:rsidRPr="00981869">
              <w:rPr>
                <w:b/>
                <w:sz w:val="20"/>
                <w:szCs w:val="20"/>
              </w:rPr>
              <w:t>High gain</w:t>
            </w:r>
          </w:p>
        </w:tc>
        <w:tc>
          <w:tcPr>
            <w:tcW w:w="1160" w:type="pct"/>
          </w:tcPr>
          <w:p w14:paraId="1A563791"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b/>
                <w:sz w:val="20"/>
                <w:szCs w:val="20"/>
              </w:rPr>
            </w:pPr>
            <w:r w:rsidRPr="00981869">
              <w:rPr>
                <w:b/>
                <w:sz w:val="20"/>
                <w:szCs w:val="20"/>
              </w:rPr>
              <w:t>Low gain</w:t>
            </w:r>
          </w:p>
        </w:tc>
      </w:tr>
      <w:tr w:rsidR="00C26B2F" w:rsidRPr="00981869" w14:paraId="7646D8D4" w14:textId="77777777" w:rsidTr="00147AA9">
        <w:trPr>
          <w:cantSplit/>
        </w:trPr>
        <w:tc>
          <w:tcPr>
            <w:tcW w:w="1933" w:type="pct"/>
          </w:tcPr>
          <w:p w14:paraId="73092E3F"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lang w:val="fr-FR"/>
              </w:rPr>
              <w:t>Service</w:t>
            </w:r>
          </w:p>
        </w:tc>
        <w:tc>
          <w:tcPr>
            <w:tcW w:w="882" w:type="pct"/>
          </w:tcPr>
          <w:p w14:paraId="42402418"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MMSS</w:t>
            </w:r>
          </w:p>
        </w:tc>
        <w:tc>
          <w:tcPr>
            <w:tcW w:w="1025" w:type="pct"/>
          </w:tcPr>
          <w:p w14:paraId="31B57447"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MMSS</w:t>
            </w:r>
          </w:p>
        </w:tc>
        <w:tc>
          <w:tcPr>
            <w:tcW w:w="1160" w:type="pct"/>
          </w:tcPr>
          <w:p w14:paraId="193A8D2E"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MMSS</w:t>
            </w:r>
          </w:p>
        </w:tc>
      </w:tr>
      <w:tr w:rsidR="00C26B2F" w:rsidRPr="00981869" w14:paraId="15EF46B8" w14:textId="77777777" w:rsidTr="00147AA9">
        <w:trPr>
          <w:cantSplit/>
        </w:trPr>
        <w:tc>
          <w:tcPr>
            <w:tcW w:w="1933" w:type="pct"/>
          </w:tcPr>
          <w:p w14:paraId="16F922EC"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lang w:val="fr-FR"/>
              </w:rPr>
            </w:pPr>
            <w:proofErr w:type="spellStart"/>
            <w:r w:rsidRPr="00981869">
              <w:rPr>
                <w:sz w:val="20"/>
                <w:szCs w:val="20"/>
                <w:lang w:val="fr-FR"/>
              </w:rPr>
              <w:t>Typical</w:t>
            </w:r>
            <w:proofErr w:type="spellEnd"/>
            <w:r w:rsidRPr="00981869">
              <w:rPr>
                <w:sz w:val="20"/>
                <w:szCs w:val="20"/>
                <w:lang w:val="fr-FR"/>
              </w:rPr>
              <w:t xml:space="preserve"> mobile station </w:t>
            </w:r>
            <w:proofErr w:type="spellStart"/>
            <w:r w:rsidRPr="00981869">
              <w:rPr>
                <w:sz w:val="20"/>
                <w:szCs w:val="20"/>
                <w:lang w:val="fr-FR"/>
              </w:rPr>
              <w:t>antenna</w:t>
            </w:r>
            <w:proofErr w:type="spellEnd"/>
            <w:r w:rsidRPr="00981869">
              <w:rPr>
                <w:sz w:val="20"/>
                <w:szCs w:val="20"/>
                <w:lang w:val="fr-FR"/>
              </w:rPr>
              <w:t xml:space="preserve"> gain (</w:t>
            </w:r>
            <w:proofErr w:type="spellStart"/>
            <w:r w:rsidRPr="00981869">
              <w:rPr>
                <w:sz w:val="20"/>
                <w:szCs w:val="20"/>
                <w:lang w:val="fr-FR"/>
              </w:rPr>
              <w:t>dBi</w:t>
            </w:r>
            <w:proofErr w:type="spellEnd"/>
            <w:r w:rsidRPr="00981869">
              <w:rPr>
                <w:sz w:val="20"/>
                <w:szCs w:val="20"/>
                <w:lang w:val="fr-FR"/>
              </w:rPr>
              <w:t>)</w:t>
            </w:r>
          </w:p>
        </w:tc>
        <w:tc>
          <w:tcPr>
            <w:tcW w:w="882" w:type="pct"/>
          </w:tcPr>
          <w:p w14:paraId="6EBD6C68"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0</w:t>
            </w:r>
          </w:p>
        </w:tc>
        <w:tc>
          <w:tcPr>
            <w:tcW w:w="1025" w:type="pct"/>
          </w:tcPr>
          <w:p w14:paraId="73F4C638"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16</w:t>
            </w:r>
          </w:p>
        </w:tc>
        <w:tc>
          <w:tcPr>
            <w:tcW w:w="1160" w:type="pct"/>
          </w:tcPr>
          <w:p w14:paraId="106536AD"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9</w:t>
            </w:r>
          </w:p>
        </w:tc>
      </w:tr>
      <w:tr w:rsidR="00C26B2F" w:rsidRPr="00981869" w14:paraId="79C4E15D" w14:textId="77777777" w:rsidTr="00147AA9">
        <w:trPr>
          <w:cantSplit/>
        </w:trPr>
        <w:tc>
          <w:tcPr>
            <w:tcW w:w="1933" w:type="pct"/>
          </w:tcPr>
          <w:p w14:paraId="1778B958"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rPr>
            </w:pPr>
            <w:r w:rsidRPr="00981869">
              <w:rPr>
                <w:sz w:val="20"/>
                <w:szCs w:val="20"/>
              </w:rPr>
              <w:t>Antenna type (example)</w:t>
            </w:r>
          </w:p>
        </w:tc>
        <w:tc>
          <w:tcPr>
            <w:tcW w:w="882" w:type="pct"/>
          </w:tcPr>
          <w:p w14:paraId="0D6B16CD"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Quad helix</w:t>
            </w:r>
          </w:p>
        </w:tc>
        <w:tc>
          <w:tcPr>
            <w:tcW w:w="1025" w:type="pct"/>
          </w:tcPr>
          <w:p w14:paraId="605661EE"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Phased array</w:t>
            </w:r>
          </w:p>
        </w:tc>
        <w:tc>
          <w:tcPr>
            <w:tcW w:w="1160" w:type="pct"/>
          </w:tcPr>
          <w:p w14:paraId="6CF7CEC9"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Phased array</w:t>
            </w:r>
          </w:p>
        </w:tc>
      </w:tr>
      <w:tr w:rsidR="00C26B2F" w:rsidRPr="00981869" w14:paraId="01399383" w14:textId="77777777" w:rsidTr="00147AA9">
        <w:trPr>
          <w:cantSplit/>
        </w:trPr>
        <w:tc>
          <w:tcPr>
            <w:tcW w:w="1933" w:type="pct"/>
          </w:tcPr>
          <w:p w14:paraId="11069FCE"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rPr>
              <w:t>Typical antenna size</w:t>
            </w:r>
          </w:p>
        </w:tc>
        <w:tc>
          <w:tcPr>
            <w:tcW w:w="882" w:type="pct"/>
          </w:tcPr>
          <w:p w14:paraId="462D4E6B"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5 cm diameter</w:t>
            </w:r>
          </w:p>
        </w:tc>
        <w:tc>
          <w:tcPr>
            <w:tcW w:w="1025" w:type="pct"/>
          </w:tcPr>
          <w:p w14:paraId="53263BA2"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50 cm diameter</w:t>
            </w:r>
          </w:p>
        </w:tc>
        <w:tc>
          <w:tcPr>
            <w:tcW w:w="1160" w:type="pct"/>
          </w:tcPr>
          <w:p w14:paraId="7CCA8ABE"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30 cm diameter</w:t>
            </w:r>
          </w:p>
        </w:tc>
      </w:tr>
      <w:tr w:rsidR="00C26B2F" w:rsidRPr="00981869" w14:paraId="0730447E" w14:textId="77777777" w:rsidTr="00147AA9">
        <w:trPr>
          <w:cantSplit/>
        </w:trPr>
        <w:tc>
          <w:tcPr>
            <w:tcW w:w="1933" w:type="pct"/>
          </w:tcPr>
          <w:p w14:paraId="18DCBF11"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rPr>
              <w:t>Mobile earth station figure of merit (</w:t>
            </w:r>
            <w:r w:rsidRPr="00981869">
              <w:rPr>
                <w:i/>
                <w:iCs/>
                <w:sz w:val="20"/>
                <w:szCs w:val="20"/>
              </w:rPr>
              <w:t>G</w:t>
            </w:r>
            <w:r w:rsidRPr="00981869">
              <w:rPr>
                <w:sz w:val="20"/>
                <w:szCs w:val="20"/>
              </w:rPr>
              <w:t>/</w:t>
            </w:r>
            <w:r w:rsidRPr="00981869">
              <w:rPr>
                <w:i/>
                <w:iCs/>
                <w:sz w:val="20"/>
                <w:szCs w:val="20"/>
              </w:rPr>
              <w:t>T</w:t>
            </w:r>
            <w:r w:rsidRPr="00981869">
              <w:rPr>
                <w:sz w:val="20"/>
                <w:szCs w:val="20"/>
              </w:rPr>
              <w:t>) (dB(K</w:t>
            </w:r>
            <w:r w:rsidRPr="00981869">
              <w:rPr>
                <w:sz w:val="20"/>
                <w:szCs w:val="20"/>
                <w:vertAlign w:val="superscript"/>
              </w:rPr>
              <w:t>–1</w:t>
            </w:r>
            <w:r w:rsidRPr="00981869">
              <w:rPr>
                <w:sz w:val="20"/>
                <w:szCs w:val="20"/>
              </w:rPr>
              <w:t>))</w:t>
            </w:r>
          </w:p>
        </w:tc>
        <w:tc>
          <w:tcPr>
            <w:tcW w:w="882" w:type="pct"/>
          </w:tcPr>
          <w:p w14:paraId="679AA4AC"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−23</w:t>
            </w:r>
          </w:p>
        </w:tc>
        <w:tc>
          <w:tcPr>
            <w:tcW w:w="1025" w:type="pct"/>
          </w:tcPr>
          <w:p w14:paraId="32AC5A5A"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−7.5</w:t>
            </w:r>
          </w:p>
        </w:tc>
        <w:tc>
          <w:tcPr>
            <w:tcW w:w="1160" w:type="pct"/>
          </w:tcPr>
          <w:p w14:paraId="1912F43B"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−15.5</w:t>
            </w:r>
          </w:p>
        </w:tc>
      </w:tr>
      <w:tr w:rsidR="00C26B2F" w:rsidRPr="00981869" w14:paraId="65D3C3C4" w14:textId="77777777" w:rsidTr="00147AA9">
        <w:trPr>
          <w:cantSplit/>
        </w:trPr>
        <w:tc>
          <w:tcPr>
            <w:tcW w:w="1933" w:type="pct"/>
          </w:tcPr>
          <w:p w14:paraId="61C04D12"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rPr>
              <w:t xml:space="preserve">Mobile earth station </w:t>
            </w:r>
            <w:proofErr w:type="spellStart"/>
            <w:r w:rsidRPr="00981869">
              <w:rPr>
                <w:sz w:val="20"/>
                <w:szCs w:val="20"/>
              </w:rPr>
              <w:t>e.i.r.p</w:t>
            </w:r>
            <w:proofErr w:type="spellEnd"/>
            <w:r w:rsidRPr="00981869">
              <w:rPr>
                <w:sz w:val="20"/>
                <w:szCs w:val="20"/>
              </w:rPr>
              <w:t>./channel (</w:t>
            </w:r>
            <w:proofErr w:type="spellStart"/>
            <w:r w:rsidRPr="00981869">
              <w:rPr>
                <w:sz w:val="20"/>
                <w:szCs w:val="20"/>
              </w:rPr>
              <w:t>dBW</w:t>
            </w:r>
            <w:proofErr w:type="spellEnd"/>
            <w:r w:rsidRPr="00981869">
              <w:rPr>
                <w:sz w:val="20"/>
                <w:szCs w:val="20"/>
              </w:rPr>
              <w:t>)</w:t>
            </w:r>
          </w:p>
        </w:tc>
        <w:tc>
          <w:tcPr>
            <w:tcW w:w="882" w:type="pct"/>
          </w:tcPr>
          <w:p w14:paraId="29598754"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11</w:t>
            </w:r>
          </w:p>
        </w:tc>
        <w:tc>
          <w:tcPr>
            <w:tcW w:w="1025" w:type="pct"/>
          </w:tcPr>
          <w:p w14:paraId="6AA9688C"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22</w:t>
            </w:r>
          </w:p>
        </w:tc>
        <w:tc>
          <w:tcPr>
            <w:tcW w:w="1160" w:type="pct"/>
          </w:tcPr>
          <w:p w14:paraId="001CA432"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15.1</w:t>
            </w:r>
          </w:p>
        </w:tc>
      </w:tr>
      <w:tr w:rsidR="00C26B2F" w:rsidRPr="00981869" w14:paraId="0845FC1B" w14:textId="77777777" w:rsidTr="00147AA9">
        <w:trPr>
          <w:cantSplit/>
        </w:trPr>
        <w:tc>
          <w:tcPr>
            <w:tcW w:w="1933" w:type="pct"/>
          </w:tcPr>
          <w:p w14:paraId="080A197D"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rPr>
              <w:t>User data rate</w:t>
            </w:r>
          </w:p>
        </w:tc>
        <w:tc>
          <w:tcPr>
            <w:tcW w:w="882" w:type="pct"/>
          </w:tcPr>
          <w:p w14:paraId="068085C3"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600 bit/s</w:t>
            </w:r>
          </w:p>
        </w:tc>
        <w:tc>
          <w:tcPr>
            <w:tcW w:w="1025" w:type="pct"/>
          </w:tcPr>
          <w:p w14:paraId="0B9849E8"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lang w:val="fr-FR"/>
              </w:rPr>
              <w:t>500 kbit/s</w:t>
            </w:r>
          </w:p>
        </w:tc>
        <w:tc>
          <w:tcPr>
            <w:tcW w:w="1160" w:type="pct"/>
          </w:tcPr>
          <w:p w14:paraId="6C58085E"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lang w:val="fr-FR"/>
              </w:rPr>
              <w:t>250 kbit/s</w:t>
            </w:r>
          </w:p>
        </w:tc>
      </w:tr>
      <w:tr w:rsidR="00C26B2F" w:rsidRPr="00981869" w14:paraId="32C38680" w14:textId="77777777" w:rsidTr="00147AA9">
        <w:trPr>
          <w:cantSplit/>
        </w:trPr>
        <w:tc>
          <w:tcPr>
            <w:tcW w:w="1933" w:type="pct"/>
          </w:tcPr>
          <w:p w14:paraId="7FE55851"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rPr>
            </w:pPr>
            <w:r w:rsidRPr="00981869">
              <w:rPr>
                <w:sz w:val="20"/>
                <w:szCs w:val="20"/>
              </w:rPr>
              <w:t>Modulation</w:t>
            </w:r>
          </w:p>
        </w:tc>
        <w:tc>
          <w:tcPr>
            <w:tcW w:w="882" w:type="pct"/>
          </w:tcPr>
          <w:p w14:paraId="1C7A2AB1"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BPSK</w:t>
            </w:r>
          </w:p>
        </w:tc>
        <w:tc>
          <w:tcPr>
            <w:tcW w:w="1025" w:type="pct"/>
          </w:tcPr>
          <w:p w14:paraId="15C4872B"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16-QAM</w:t>
            </w:r>
          </w:p>
        </w:tc>
        <w:tc>
          <w:tcPr>
            <w:tcW w:w="1160" w:type="pct"/>
          </w:tcPr>
          <w:p w14:paraId="2F823F4F"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sz w:val="20"/>
                <w:szCs w:val="20"/>
              </w:rPr>
            </w:pPr>
            <w:r w:rsidRPr="00981869">
              <w:rPr>
                <w:sz w:val="20"/>
                <w:szCs w:val="20"/>
              </w:rPr>
              <w:t>16-QAM</w:t>
            </w:r>
          </w:p>
        </w:tc>
      </w:tr>
      <w:tr w:rsidR="00C26B2F" w:rsidRPr="00981869" w14:paraId="190F6A1F" w14:textId="77777777" w:rsidTr="00147AA9">
        <w:trPr>
          <w:cantSplit/>
        </w:trPr>
        <w:tc>
          <w:tcPr>
            <w:tcW w:w="1933" w:type="pct"/>
          </w:tcPr>
          <w:p w14:paraId="120BBD4F"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rPr>
            </w:pPr>
            <w:r w:rsidRPr="00981869">
              <w:rPr>
                <w:sz w:val="20"/>
                <w:szCs w:val="20"/>
                <w:lang w:val="en-GB"/>
              </w:rPr>
              <w:t xml:space="preserve">Typical </w:t>
            </w:r>
            <w:r w:rsidRPr="00981869">
              <w:rPr>
                <w:i/>
                <w:iCs/>
                <w:sz w:val="20"/>
                <w:szCs w:val="20"/>
                <w:lang w:val="en-GB"/>
              </w:rPr>
              <w:t>C</w:t>
            </w:r>
            <w:r w:rsidRPr="00981869">
              <w:rPr>
                <w:sz w:val="20"/>
                <w:szCs w:val="20"/>
                <w:lang w:val="en-GB"/>
              </w:rPr>
              <w:t>/</w:t>
            </w:r>
            <w:r w:rsidRPr="00981869">
              <w:rPr>
                <w:i/>
                <w:iCs/>
                <w:sz w:val="20"/>
                <w:szCs w:val="20"/>
                <w:lang w:val="en-GB"/>
              </w:rPr>
              <w:t>N</w:t>
            </w:r>
            <w:r w:rsidRPr="00981869">
              <w:rPr>
                <w:sz w:val="20"/>
                <w:szCs w:val="20"/>
                <w:vertAlign w:val="subscript"/>
                <w:lang w:val="en-GB"/>
              </w:rPr>
              <w:t>0</w:t>
            </w:r>
            <w:r w:rsidRPr="00981869">
              <w:rPr>
                <w:position w:val="-4"/>
                <w:sz w:val="20"/>
                <w:szCs w:val="20"/>
                <w:lang w:val="en-GB"/>
              </w:rPr>
              <w:t xml:space="preserve"> </w:t>
            </w:r>
            <w:r w:rsidRPr="00981869">
              <w:rPr>
                <w:sz w:val="20"/>
                <w:szCs w:val="20"/>
                <w:lang w:val="en-GB"/>
              </w:rPr>
              <w:t>for communication channel (dB(Hz))</w:t>
            </w:r>
          </w:p>
        </w:tc>
        <w:tc>
          <w:tcPr>
            <w:tcW w:w="882" w:type="pct"/>
          </w:tcPr>
          <w:p w14:paraId="676A4D3F"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32</w:t>
            </w:r>
          </w:p>
        </w:tc>
        <w:tc>
          <w:tcPr>
            <w:tcW w:w="1025" w:type="pct"/>
          </w:tcPr>
          <w:p w14:paraId="74226A03"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67</w:t>
            </w:r>
          </w:p>
        </w:tc>
        <w:tc>
          <w:tcPr>
            <w:tcW w:w="1160" w:type="pct"/>
          </w:tcPr>
          <w:p w14:paraId="6749E628"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57</w:t>
            </w:r>
          </w:p>
        </w:tc>
      </w:tr>
      <w:tr w:rsidR="00C26B2F" w:rsidRPr="00981869" w14:paraId="259CFA2B" w14:textId="77777777" w:rsidTr="00147AA9">
        <w:trPr>
          <w:cantSplit/>
        </w:trPr>
        <w:tc>
          <w:tcPr>
            <w:tcW w:w="1933" w:type="pct"/>
          </w:tcPr>
          <w:p w14:paraId="7F66D5B7"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textAlignment w:val="baseline"/>
              <w:rPr>
                <w:sz w:val="20"/>
                <w:szCs w:val="20"/>
                <w:lang w:val="fr-FR"/>
              </w:rPr>
            </w:pPr>
            <w:r w:rsidRPr="00981869">
              <w:rPr>
                <w:sz w:val="20"/>
                <w:szCs w:val="20"/>
                <w:lang w:val="fr-FR"/>
              </w:rPr>
              <w:t xml:space="preserve">Satellite </w:t>
            </w:r>
            <w:proofErr w:type="spellStart"/>
            <w:r w:rsidRPr="00981869">
              <w:rPr>
                <w:sz w:val="20"/>
                <w:szCs w:val="20"/>
                <w:lang w:val="fr-FR"/>
              </w:rPr>
              <w:t>e.i.r.p</w:t>
            </w:r>
            <w:proofErr w:type="spellEnd"/>
            <w:r w:rsidRPr="00981869">
              <w:rPr>
                <w:sz w:val="20"/>
                <w:szCs w:val="20"/>
                <w:lang w:val="fr-FR"/>
              </w:rPr>
              <w:t>./</w:t>
            </w:r>
            <w:proofErr w:type="spellStart"/>
            <w:r w:rsidRPr="00981869">
              <w:rPr>
                <w:sz w:val="20"/>
                <w:szCs w:val="20"/>
                <w:lang w:val="fr-FR"/>
              </w:rPr>
              <w:t>channel</w:t>
            </w:r>
            <w:proofErr w:type="spellEnd"/>
            <w:r w:rsidRPr="00981869">
              <w:rPr>
                <w:sz w:val="20"/>
                <w:szCs w:val="20"/>
                <w:lang w:val="fr-FR"/>
              </w:rPr>
              <w:t xml:space="preserve"> (</w:t>
            </w:r>
            <w:proofErr w:type="spellStart"/>
            <w:r w:rsidRPr="00981869">
              <w:rPr>
                <w:sz w:val="20"/>
                <w:szCs w:val="20"/>
                <w:lang w:val="fr-FR"/>
              </w:rPr>
              <w:t>dBW</w:t>
            </w:r>
            <w:proofErr w:type="spellEnd"/>
            <w:r w:rsidRPr="00981869">
              <w:rPr>
                <w:sz w:val="20"/>
                <w:szCs w:val="20"/>
                <w:lang w:val="fr-FR"/>
              </w:rPr>
              <w:t>)</w:t>
            </w:r>
          </w:p>
        </w:tc>
        <w:tc>
          <w:tcPr>
            <w:tcW w:w="882" w:type="pct"/>
          </w:tcPr>
          <w:p w14:paraId="2721BF00"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20</w:t>
            </w:r>
          </w:p>
        </w:tc>
        <w:tc>
          <w:tcPr>
            <w:tcW w:w="1025" w:type="pct"/>
          </w:tcPr>
          <w:p w14:paraId="54A91DAB"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40.5</w:t>
            </w:r>
          </w:p>
        </w:tc>
        <w:tc>
          <w:tcPr>
            <w:tcW w:w="1160" w:type="pct"/>
          </w:tcPr>
          <w:p w14:paraId="76E40B93"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lang w:val="fr-FR"/>
              </w:rPr>
            </w:pPr>
            <w:r w:rsidRPr="00981869">
              <w:rPr>
                <w:sz w:val="20"/>
                <w:szCs w:val="20"/>
                <w:lang w:val="fr-FR"/>
              </w:rPr>
              <w:t>40.5</w:t>
            </w:r>
          </w:p>
        </w:tc>
      </w:tr>
      <w:tr w:rsidR="00C26B2F" w:rsidRPr="00981869" w14:paraId="6D405B66" w14:textId="77777777" w:rsidTr="00147AA9">
        <w:trPr>
          <w:cantSplit/>
        </w:trPr>
        <w:tc>
          <w:tcPr>
            <w:tcW w:w="1933" w:type="pct"/>
          </w:tcPr>
          <w:p w14:paraId="12360F87"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rPr>
            </w:pPr>
            <w:r w:rsidRPr="00981869">
              <w:rPr>
                <w:sz w:val="20"/>
                <w:szCs w:val="20"/>
              </w:rPr>
              <w:t>Channel spacing</w:t>
            </w:r>
            <w:r w:rsidRPr="00981869">
              <w:rPr>
                <w:sz w:val="20"/>
                <w:szCs w:val="20"/>
              </w:rPr>
              <w:br/>
              <w:t>(nominal) (kHz)</w:t>
            </w:r>
          </w:p>
        </w:tc>
        <w:tc>
          <w:tcPr>
            <w:tcW w:w="882" w:type="pct"/>
          </w:tcPr>
          <w:p w14:paraId="3EFE6198"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5</w:t>
            </w:r>
          </w:p>
        </w:tc>
        <w:tc>
          <w:tcPr>
            <w:tcW w:w="1025" w:type="pct"/>
          </w:tcPr>
          <w:p w14:paraId="3FF2DCDC"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200</w:t>
            </w:r>
          </w:p>
        </w:tc>
        <w:tc>
          <w:tcPr>
            <w:tcW w:w="1160" w:type="pct"/>
          </w:tcPr>
          <w:p w14:paraId="630FB930" w14:textId="77777777" w:rsidR="00C26B2F" w:rsidRPr="00981869" w:rsidRDefault="00C26B2F" w:rsidP="00147AA9">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200</w:t>
            </w:r>
          </w:p>
        </w:tc>
      </w:tr>
      <w:tr w:rsidR="00C26B2F" w:rsidRPr="00981869" w14:paraId="48E836DE" w14:textId="77777777" w:rsidTr="00147AA9">
        <w:trPr>
          <w:cantSplit/>
        </w:trPr>
        <w:tc>
          <w:tcPr>
            <w:tcW w:w="1933" w:type="pct"/>
          </w:tcPr>
          <w:p w14:paraId="58FF46A6" w14:textId="77777777" w:rsidR="00C26B2F" w:rsidRPr="00981869" w:rsidRDefault="00C26B2F" w:rsidP="00147A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sz w:val="20"/>
                <w:szCs w:val="20"/>
              </w:rPr>
            </w:pPr>
            <w:r w:rsidRPr="00981869">
              <w:rPr>
                <w:sz w:val="20"/>
                <w:szCs w:val="20"/>
              </w:rPr>
              <w:t>Satellite peak antenna gain</w:t>
            </w:r>
            <w:r w:rsidRPr="00981869">
              <w:rPr>
                <w:sz w:val="20"/>
                <w:szCs w:val="20"/>
                <w:vertAlign w:val="superscript"/>
              </w:rPr>
              <w:t xml:space="preserve"> (1)</w:t>
            </w:r>
            <w:r w:rsidRPr="00981869">
              <w:rPr>
                <w:sz w:val="20"/>
                <w:szCs w:val="20"/>
              </w:rPr>
              <w:t xml:space="preserve"> (</w:t>
            </w:r>
            <w:proofErr w:type="spellStart"/>
            <w:r w:rsidRPr="00981869">
              <w:rPr>
                <w:sz w:val="20"/>
                <w:szCs w:val="20"/>
              </w:rPr>
              <w:t>dBi</w:t>
            </w:r>
            <w:proofErr w:type="spellEnd"/>
            <w:r w:rsidRPr="00981869">
              <w:rPr>
                <w:sz w:val="20"/>
                <w:szCs w:val="20"/>
              </w:rPr>
              <w:t>)</w:t>
            </w:r>
          </w:p>
        </w:tc>
        <w:tc>
          <w:tcPr>
            <w:tcW w:w="882" w:type="pct"/>
          </w:tcPr>
          <w:p w14:paraId="54462C0A" w14:textId="77777777" w:rsidR="00C26B2F" w:rsidRPr="00981869" w:rsidRDefault="00C26B2F" w:rsidP="00147A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18</w:t>
            </w:r>
          </w:p>
        </w:tc>
        <w:tc>
          <w:tcPr>
            <w:tcW w:w="1025" w:type="pct"/>
          </w:tcPr>
          <w:p w14:paraId="23145E64" w14:textId="77777777" w:rsidR="00C26B2F" w:rsidRPr="00981869" w:rsidRDefault="00C26B2F" w:rsidP="00147A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41</w:t>
            </w:r>
          </w:p>
        </w:tc>
        <w:tc>
          <w:tcPr>
            <w:tcW w:w="1160" w:type="pct"/>
          </w:tcPr>
          <w:p w14:paraId="5F75E53D" w14:textId="77777777" w:rsidR="00C26B2F" w:rsidRPr="00981869" w:rsidRDefault="00C26B2F" w:rsidP="00147A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jc w:val="center"/>
              <w:textAlignment w:val="baseline"/>
              <w:rPr>
                <w:sz w:val="20"/>
                <w:szCs w:val="20"/>
              </w:rPr>
            </w:pPr>
            <w:r w:rsidRPr="00981869">
              <w:rPr>
                <w:sz w:val="20"/>
                <w:szCs w:val="20"/>
              </w:rPr>
              <w:t>41</w:t>
            </w:r>
          </w:p>
        </w:tc>
      </w:tr>
    </w:tbl>
    <w:p w14:paraId="0F8DB719" w14:textId="77777777" w:rsidR="00C26B2F" w:rsidRDefault="00C26B2F" w:rsidP="00C26B2F"/>
    <w:p w14:paraId="4AB5E265" w14:textId="77777777" w:rsidR="00C26B2F" w:rsidRDefault="00C26B2F" w:rsidP="00C26B2F">
      <w:r>
        <w:t>Interference criteria for the mobile-satellite service is found in ITU-R Recommendation M.1183</w:t>
      </w:r>
      <w:r>
        <w:noBreakHyphen/>
        <w:t>0, which provides:</w:t>
      </w:r>
    </w:p>
    <w:p w14:paraId="3EBB0BE4" w14:textId="77777777" w:rsidR="00C26B2F" w:rsidRDefault="00C26B2F" w:rsidP="00C26B2F"/>
    <w:p w14:paraId="28C40372" w14:textId="77777777" w:rsidR="00C26B2F" w:rsidRDefault="00C26B2F" w:rsidP="00C26B2F">
      <w:pPr>
        <w:rPr>
          <w:i/>
          <w:iCs/>
        </w:rPr>
      </w:pPr>
      <w:r w:rsidRPr="00656B27">
        <w:rPr>
          <w:i/>
          <w:iCs/>
        </w:rPr>
        <w:t>that the maximum level of interference power in any such digital channel caused by the transmitters of another mobile-satellite network or fixed-satellite network, should not exceed for more than (100 – X)% of any month, 6% of the total noise power at the input to the demodulator which would give rise to the desired performance objectives[.]</w:t>
      </w:r>
    </w:p>
    <w:p w14:paraId="02C4E92F" w14:textId="77777777" w:rsidR="00C26B2F" w:rsidRDefault="00C26B2F" w:rsidP="00C26B2F">
      <w:pPr>
        <w:rPr>
          <w:i/>
          <w:iCs/>
        </w:rPr>
      </w:pPr>
    </w:p>
    <w:p w14:paraId="57326F76" w14:textId="77777777" w:rsidR="00C26B2F" w:rsidRDefault="00C26B2F" w:rsidP="00C26B2F">
      <w:r>
        <w:t>The methodology for determining performance</w:t>
      </w:r>
      <w:r w:rsidRPr="005A17BF">
        <w:t xml:space="preserve"> objectives for narrow-band channels in mobile satellite systems using geostationary satellites not forming part of the ISDN</w:t>
      </w:r>
      <w:r>
        <w:t xml:space="preserve"> is contained in ITU</w:t>
      </w:r>
      <w:r>
        <w:noBreakHyphen/>
        <w:t>R Recommendation M.1228, and other ITU-R M series recommendations may be relevant.</w:t>
      </w:r>
    </w:p>
    <w:p w14:paraId="44EAF556" w14:textId="77777777" w:rsidR="00C26B2F" w:rsidRDefault="00C26B2F" w:rsidP="00C26B2F"/>
    <w:p w14:paraId="04D2AB34" w14:textId="77777777" w:rsidR="00C26B2F" w:rsidRPr="00F014FD" w:rsidRDefault="00C26B2F" w:rsidP="00C26B2F">
      <w:r>
        <w:t xml:space="preserve">The United States proposes that these characteristics and criteria be taken into account in studies for agenda item 1.12 required by </w:t>
      </w:r>
      <w:r>
        <w:rPr>
          <w:i/>
          <w:iCs/>
        </w:rPr>
        <w:t>resolves</w:t>
      </w:r>
      <w:r>
        <w:t xml:space="preserve"> 2 of ITU-R Resolution 252</w:t>
      </w:r>
    </w:p>
    <w:p w14:paraId="696FA60E" w14:textId="77777777" w:rsidR="00731F24" w:rsidRDefault="00731F24"/>
    <w:sectPr w:rsidR="00731F2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BC67B" w14:textId="77777777" w:rsidR="008121B3" w:rsidRDefault="008121B3" w:rsidP="00D73705">
      <w:r>
        <w:separator/>
      </w:r>
    </w:p>
  </w:endnote>
  <w:endnote w:type="continuationSeparator" w:id="0">
    <w:p w14:paraId="5AFC6110" w14:textId="77777777" w:rsidR="008121B3" w:rsidRDefault="008121B3" w:rsidP="00D73705">
      <w:r>
        <w:continuationSeparator/>
      </w:r>
    </w:p>
  </w:endnote>
  <w:endnote w:type="continuationNotice" w:id="1">
    <w:p w14:paraId="54DD6F34" w14:textId="77777777" w:rsidR="008121B3" w:rsidRDefault="00812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EADD" w14:textId="713506BD" w:rsidR="009A4969" w:rsidRDefault="00E704AE">
    <w:pPr>
      <w:pStyle w:val="Footer"/>
    </w:pPr>
    <w:r>
      <w:rPr>
        <w:noProof/>
      </w:rPr>
      <mc:AlternateContent>
        <mc:Choice Requires="wps">
          <w:drawing>
            <wp:anchor distT="0" distB="0" distL="0" distR="0" simplePos="0" relativeHeight="251658241" behindDoc="0" locked="0" layoutInCell="1" allowOverlap="1" wp14:anchorId="1A5085CF" wp14:editId="128365F8">
              <wp:simplePos x="635" y="635"/>
              <wp:positionH relativeFrom="page">
                <wp:align>left</wp:align>
              </wp:positionH>
              <wp:positionV relativeFrom="page">
                <wp:align>bottom</wp:align>
              </wp:positionV>
              <wp:extent cx="443865" cy="443865"/>
              <wp:effectExtent l="0" t="0" r="4445" b="0"/>
              <wp:wrapNone/>
              <wp:docPr id="1298741894" name="Text Box 2" descr="PUBLIC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3A100C" w14:textId="18867F31" w:rsidR="00E704AE" w:rsidRPr="00E704AE" w:rsidRDefault="00E704AE" w:rsidP="00E704AE">
                          <w:pPr>
                            <w:rPr>
                              <w:rFonts w:ascii="Calibri" w:eastAsia="Calibri" w:hAnsi="Calibri" w:cs="Calibri"/>
                              <w:noProof/>
                              <w:color w:val="000000"/>
                              <w:sz w:val="14"/>
                              <w:szCs w:val="14"/>
                            </w:rPr>
                          </w:pPr>
                          <w:r w:rsidRPr="00E704AE">
                            <w:rPr>
                              <w:rFonts w:ascii="Calibri" w:eastAsia="Calibri" w:hAnsi="Calibri" w:cs="Calibri"/>
                              <w:noProof/>
                              <w:color w:val="000000"/>
                              <w:sz w:val="14"/>
                              <w:szCs w:val="14"/>
                            </w:rPr>
                            <w:t>PUBLIC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5085CF" id="_x0000_t202" coordsize="21600,21600" o:spt="202" path="m,l,21600r21600,l21600,xe">
              <v:stroke joinstyle="miter"/>
              <v:path gradientshapeok="t" o:connecttype="rect"/>
            </v:shapetype>
            <v:shape id="Text Box 2" o:spid="_x0000_s1026" type="#_x0000_t202" alt="PUBLIC  |  © INMARSAT"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23A100C" w14:textId="18867F31" w:rsidR="00E704AE" w:rsidRPr="00E704AE" w:rsidRDefault="00E704AE" w:rsidP="00E704AE">
                    <w:pPr>
                      <w:rPr>
                        <w:rFonts w:ascii="Calibri" w:eastAsia="Calibri" w:hAnsi="Calibri" w:cs="Calibri"/>
                        <w:noProof/>
                        <w:color w:val="000000"/>
                        <w:sz w:val="14"/>
                        <w:szCs w:val="14"/>
                      </w:rPr>
                    </w:pPr>
                    <w:r w:rsidRPr="00E704AE">
                      <w:rPr>
                        <w:rFonts w:ascii="Calibri" w:eastAsia="Calibri" w:hAnsi="Calibri" w:cs="Calibri"/>
                        <w:noProof/>
                        <w:color w:val="000000"/>
                        <w:sz w:val="14"/>
                        <w:szCs w:val="14"/>
                      </w:rPr>
                      <w:t>PUBLIC  |  © INMARSAT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D4CD" w14:textId="027A605B" w:rsidR="009A4969" w:rsidRDefault="009A4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0F3B" w14:textId="5896523A" w:rsidR="009A4969" w:rsidRDefault="00E704AE">
    <w:pPr>
      <w:pStyle w:val="Footer"/>
    </w:pPr>
    <w:r>
      <w:rPr>
        <w:noProof/>
      </w:rPr>
      <mc:AlternateContent>
        <mc:Choice Requires="wps">
          <w:drawing>
            <wp:anchor distT="0" distB="0" distL="0" distR="0" simplePos="0" relativeHeight="251658240" behindDoc="0" locked="0" layoutInCell="1" allowOverlap="1" wp14:anchorId="19DD592F" wp14:editId="616F6100">
              <wp:simplePos x="635" y="635"/>
              <wp:positionH relativeFrom="page">
                <wp:align>left</wp:align>
              </wp:positionH>
              <wp:positionV relativeFrom="page">
                <wp:align>bottom</wp:align>
              </wp:positionV>
              <wp:extent cx="443865" cy="443865"/>
              <wp:effectExtent l="0" t="0" r="4445" b="0"/>
              <wp:wrapNone/>
              <wp:docPr id="322521460" name="Text Box 1" descr="PUBLIC  |  © INMARS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0D096" w14:textId="65DEC7B5" w:rsidR="00E704AE" w:rsidRPr="00E704AE" w:rsidRDefault="00E704AE" w:rsidP="00E704AE">
                          <w:pPr>
                            <w:rPr>
                              <w:rFonts w:ascii="Calibri" w:eastAsia="Calibri" w:hAnsi="Calibri" w:cs="Calibri"/>
                              <w:noProof/>
                              <w:color w:val="000000"/>
                              <w:sz w:val="14"/>
                              <w:szCs w:val="14"/>
                            </w:rPr>
                          </w:pPr>
                          <w:r w:rsidRPr="00E704AE">
                            <w:rPr>
                              <w:rFonts w:ascii="Calibri" w:eastAsia="Calibri" w:hAnsi="Calibri" w:cs="Calibri"/>
                              <w:noProof/>
                              <w:color w:val="000000"/>
                              <w:sz w:val="14"/>
                              <w:szCs w:val="14"/>
                            </w:rPr>
                            <w:t>PUBLIC  |  © INMARSAT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DD592F" id="_x0000_t202" coordsize="21600,21600" o:spt="202" path="m,l,21600r21600,l21600,xe">
              <v:stroke joinstyle="miter"/>
              <v:path gradientshapeok="t" o:connecttype="rect"/>
            </v:shapetype>
            <v:shape id="Text Box 1" o:spid="_x0000_s1027" type="#_x0000_t202" alt="PUBLIC  |  © INMARSA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0D0D096" w14:textId="65DEC7B5" w:rsidR="00E704AE" w:rsidRPr="00E704AE" w:rsidRDefault="00E704AE" w:rsidP="00E704AE">
                    <w:pPr>
                      <w:rPr>
                        <w:rFonts w:ascii="Calibri" w:eastAsia="Calibri" w:hAnsi="Calibri" w:cs="Calibri"/>
                        <w:noProof/>
                        <w:color w:val="000000"/>
                        <w:sz w:val="14"/>
                        <w:szCs w:val="14"/>
                      </w:rPr>
                    </w:pPr>
                    <w:r w:rsidRPr="00E704AE">
                      <w:rPr>
                        <w:rFonts w:ascii="Calibri" w:eastAsia="Calibri" w:hAnsi="Calibri" w:cs="Calibri"/>
                        <w:noProof/>
                        <w:color w:val="000000"/>
                        <w:sz w:val="14"/>
                        <w:szCs w:val="14"/>
                      </w:rPr>
                      <w:t>PUBLIC  |  © INMARSAT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6BB7" w14:textId="77777777" w:rsidR="008121B3" w:rsidRDefault="008121B3" w:rsidP="00D73705">
      <w:r>
        <w:separator/>
      </w:r>
    </w:p>
  </w:footnote>
  <w:footnote w:type="continuationSeparator" w:id="0">
    <w:p w14:paraId="21483978" w14:textId="77777777" w:rsidR="008121B3" w:rsidRDefault="008121B3" w:rsidP="00D73705">
      <w:r>
        <w:continuationSeparator/>
      </w:r>
    </w:p>
  </w:footnote>
  <w:footnote w:type="continuationNotice" w:id="1">
    <w:p w14:paraId="001AFFA5" w14:textId="77777777" w:rsidR="008121B3" w:rsidRDefault="008121B3"/>
  </w:footnote>
  <w:footnote w:id="2">
    <w:p w14:paraId="20862593" w14:textId="77777777" w:rsidR="001D75F7" w:rsidRPr="001C1EDA" w:rsidRDefault="001D75F7" w:rsidP="001D75F7">
      <w:pPr>
        <w:pStyle w:val="FootnoteText"/>
        <w:ind w:left="255" w:hanging="255"/>
      </w:pPr>
      <w:r>
        <w:rPr>
          <w:rStyle w:val="FootnoteReference"/>
        </w:rPr>
        <w:footnoteRef/>
      </w:r>
      <w:r>
        <w:tab/>
        <w:t>“Streamlining Licensing Procedures for Small Satellites,” Notice of Proposed Rulemaking, FCC 18-44, International Bureau Docket No. 18-16, rel. April 17, 2018).</w:t>
      </w:r>
    </w:p>
  </w:footnote>
  <w:footnote w:id="3">
    <w:p w14:paraId="555C33BF" w14:textId="77777777" w:rsidR="001D75F7" w:rsidRPr="001C1EDA" w:rsidRDefault="001D75F7" w:rsidP="001D75F7">
      <w:pPr>
        <w:pStyle w:val="FootnoteText"/>
        <w:ind w:left="255" w:hanging="255"/>
      </w:pPr>
      <w:r>
        <w:rPr>
          <w:rStyle w:val="FootnoteReference"/>
        </w:rPr>
        <w:footnoteRef/>
      </w:r>
      <w:r>
        <w:t xml:space="preserve"> </w:t>
      </w:r>
      <w:r>
        <w:tab/>
        <w:t xml:space="preserve">Jeff Foust, </w:t>
      </w:r>
      <w:r>
        <w:rPr>
          <w:i/>
        </w:rPr>
        <w:t>India Sets Record with Launch of 104 Satellites on a Single Rocket</w:t>
      </w:r>
      <w:r>
        <w:t xml:space="preserve">, </w:t>
      </w:r>
      <w:proofErr w:type="spellStart"/>
      <w:r>
        <w:t>SpaceNews</w:t>
      </w:r>
      <w:proofErr w:type="spellEnd"/>
      <w:r>
        <w:t xml:space="preserve"> (February 15, 2017), </w:t>
      </w:r>
      <w:hyperlink r:id="rId1" w:history="1">
        <w:r w:rsidRPr="00733537">
          <w:rPr>
            <w:rStyle w:val="Hyperlink"/>
          </w:rPr>
          <w:t>http://spacenews.com/india-sates-record-with-launch-of-104-satellites-on-a-single-rocket</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CABF2" w14:textId="77777777" w:rsidR="00E704AE" w:rsidRDefault="00E70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EC3E" w14:textId="77777777" w:rsidR="00E704AE" w:rsidRDefault="00E70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3F85" w14:textId="77777777" w:rsidR="00E704AE" w:rsidRDefault="00E704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156D3"/>
    <w:rsid w:val="00036BDF"/>
    <w:rsid w:val="000A4E77"/>
    <w:rsid w:val="000B3C0D"/>
    <w:rsid w:val="00100271"/>
    <w:rsid w:val="001016DD"/>
    <w:rsid w:val="00133A8C"/>
    <w:rsid w:val="00135491"/>
    <w:rsid w:val="00150284"/>
    <w:rsid w:val="001537E1"/>
    <w:rsid w:val="001D75F7"/>
    <w:rsid w:val="00201AEF"/>
    <w:rsid w:val="00222AF0"/>
    <w:rsid w:val="00255F17"/>
    <w:rsid w:val="0026793D"/>
    <w:rsid w:val="002863A5"/>
    <w:rsid w:val="0033069B"/>
    <w:rsid w:val="003478F9"/>
    <w:rsid w:val="003554C2"/>
    <w:rsid w:val="00377072"/>
    <w:rsid w:val="00392B01"/>
    <w:rsid w:val="003939F8"/>
    <w:rsid w:val="004226B8"/>
    <w:rsid w:val="00434A34"/>
    <w:rsid w:val="00441282"/>
    <w:rsid w:val="00455F59"/>
    <w:rsid w:val="00493A73"/>
    <w:rsid w:val="00506113"/>
    <w:rsid w:val="005555F3"/>
    <w:rsid w:val="00556CE7"/>
    <w:rsid w:val="005621CA"/>
    <w:rsid w:val="00574AB9"/>
    <w:rsid w:val="00637C49"/>
    <w:rsid w:val="00647895"/>
    <w:rsid w:val="006F0D14"/>
    <w:rsid w:val="00726089"/>
    <w:rsid w:val="00731F24"/>
    <w:rsid w:val="007364A5"/>
    <w:rsid w:val="00790A03"/>
    <w:rsid w:val="00800A7F"/>
    <w:rsid w:val="008121B3"/>
    <w:rsid w:val="008620C3"/>
    <w:rsid w:val="00870D8C"/>
    <w:rsid w:val="008767D8"/>
    <w:rsid w:val="00886CB7"/>
    <w:rsid w:val="00887BBF"/>
    <w:rsid w:val="008B64BE"/>
    <w:rsid w:val="00902F96"/>
    <w:rsid w:val="009100D9"/>
    <w:rsid w:val="00945CFF"/>
    <w:rsid w:val="009A4969"/>
    <w:rsid w:val="009A7647"/>
    <w:rsid w:val="00A179A6"/>
    <w:rsid w:val="00A51EDE"/>
    <w:rsid w:val="00A737D2"/>
    <w:rsid w:val="00A758DD"/>
    <w:rsid w:val="00A82FDC"/>
    <w:rsid w:val="00AD3818"/>
    <w:rsid w:val="00B35D97"/>
    <w:rsid w:val="00B55170"/>
    <w:rsid w:val="00B61082"/>
    <w:rsid w:val="00B81383"/>
    <w:rsid w:val="00B86973"/>
    <w:rsid w:val="00BB6FB1"/>
    <w:rsid w:val="00BC0D03"/>
    <w:rsid w:val="00BD3B56"/>
    <w:rsid w:val="00BE72B5"/>
    <w:rsid w:val="00C01580"/>
    <w:rsid w:val="00C10334"/>
    <w:rsid w:val="00C26B2F"/>
    <w:rsid w:val="00C369AA"/>
    <w:rsid w:val="00C52078"/>
    <w:rsid w:val="00C67542"/>
    <w:rsid w:val="00C948AD"/>
    <w:rsid w:val="00CD7EF7"/>
    <w:rsid w:val="00D544BE"/>
    <w:rsid w:val="00D61F42"/>
    <w:rsid w:val="00D63CCF"/>
    <w:rsid w:val="00D73705"/>
    <w:rsid w:val="00D73EC3"/>
    <w:rsid w:val="00DD7DED"/>
    <w:rsid w:val="00E04915"/>
    <w:rsid w:val="00E23C33"/>
    <w:rsid w:val="00E265DC"/>
    <w:rsid w:val="00E704AE"/>
    <w:rsid w:val="00E72719"/>
    <w:rsid w:val="00ED1934"/>
    <w:rsid w:val="00EF2A94"/>
    <w:rsid w:val="00F0685D"/>
    <w:rsid w:val="00F467AC"/>
    <w:rsid w:val="00FC7AF6"/>
    <w:rsid w:val="00FD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99672"/>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basedOn w:val="Normal"/>
    <w:next w:val="Normal"/>
    <w:link w:val="Heading3Char"/>
    <w:uiPriority w:val="9"/>
    <w:semiHidden/>
    <w:unhideWhenUsed/>
    <w:qFormat/>
    <w:rsid w:val="001D75F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3818"/>
    <w:rPr>
      <w:color w:val="605E5C"/>
      <w:shd w:val="clear" w:color="auto" w:fill="E1DFDD"/>
    </w:rPr>
  </w:style>
  <w:style w:type="character" w:customStyle="1" w:styleId="Heading3Char">
    <w:name w:val="Heading 3 Char"/>
    <w:basedOn w:val="DefaultParagraphFont"/>
    <w:link w:val="Heading3"/>
    <w:uiPriority w:val="9"/>
    <w:semiHidden/>
    <w:rsid w:val="001D75F7"/>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1D75F7"/>
    <w:rPr>
      <w:sz w:val="20"/>
      <w:szCs w:val="20"/>
    </w:rPr>
  </w:style>
  <w:style w:type="character" w:customStyle="1" w:styleId="FootnoteTextChar">
    <w:name w:val="Footnote Text Char"/>
    <w:basedOn w:val="DefaultParagraphFont"/>
    <w:link w:val="FootnoteText"/>
    <w:uiPriority w:val="99"/>
    <w:semiHidden/>
    <w:rsid w:val="001D75F7"/>
    <w:rPr>
      <w:rFonts w:ascii="Times New Roman" w:eastAsia="Times New Roman" w:hAnsi="Times New Roman" w:cs="Times New Roman"/>
      <w:sz w:val="20"/>
      <w:szCs w:val="20"/>
    </w:rPr>
  </w:style>
  <w:style w:type="character" w:styleId="FootnoteReference">
    <w:name w:val="footnote reference"/>
    <w:basedOn w:val="DefaultParagraphFont"/>
    <w:rsid w:val="001D75F7"/>
    <w:rPr>
      <w:position w:val="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adson@hwglaw.com" TargetMode="Externa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tatiana.lawrence@iridium.com" TargetMode="Externa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brennan.price@inmarsat.com" TargetMode="External"/><Relationship Id="rId11" Type="http://schemas.openxmlformats.org/officeDocument/2006/relationships/hyperlink" Target="https://www.itu.int/dms_ties/itu-r/md/15/wp4c/c/R15-WP4C-C-0472!N06!MSW-E.doc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mailto:wwhyte@teltrium.com" TargetMode="External"/><Relationship Id="rId14" Type="http://schemas.openxmlformats.org/officeDocument/2006/relationships/package" Target="embeddings/Microsoft_Visio_Drawing11111.vsdx"/><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acenews.com/india-sates-record-with-launch-of-104-satellites-on-a-single-roc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5603bf-d331-4615-a04c-c64506795477}" enabled="1" method="Privileged" siteId="{43eba056-5ca4-4871-89ac-bdd09160ce7e}" removed="0"/>
</clbl:labelList>
</file>

<file path=docProps/app.xml><?xml version="1.0" encoding="utf-8"?>
<Properties xmlns="http://schemas.openxmlformats.org/officeDocument/2006/extended-properties" xmlns:vt="http://schemas.openxmlformats.org/officeDocument/2006/docPropsVTypes">
  <Template>Normal</Template>
  <TotalTime>19</TotalTime>
  <Pages>11</Pages>
  <Words>3384</Words>
  <Characters>19289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Brennan Price</cp:lastModifiedBy>
  <cp:revision>25</cp:revision>
  <dcterms:created xsi:type="dcterms:W3CDTF">2024-02-23T16:16:00Z</dcterms:created>
  <dcterms:modified xsi:type="dcterms:W3CDTF">2024-02-23T22:51:00Z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13394974,4d693a86,7843fb96</vt:lpwstr>
  </property>
  <property fmtid="{D5CDD505-2E9C-101B-9397-08002B2CF9AE}" pid="3" name="ClassificationContentMarkingFooterFontProps">
    <vt:lpwstr>#000000,7,Calibri</vt:lpwstr>
  </property>
  <property fmtid="{D5CDD505-2E9C-101B-9397-08002B2CF9AE}" pid="4" name="ClassificationContentMarkingFooterText">
    <vt:lpwstr>PUBLIC  |  © INMARSAT</vt:lpwstr>
  </property>
</Properties>
</file>