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2FD43ABA"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6D5EFE">
              <w:rPr>
                <w:rFonts w:ascii="Arial" w:hAnsi="Arial"/>
              </w:rPr>
              <w:t>2</w:t>
            </w:r>
            <w:r w:rsidR="00EA1409">
              <w:rPr>
                <w:rFonts w:ascii="Arial" w:hAnsi="Arial"/>
              </w:rPr>
              <w:t>-</w:t>
            </w:r>
            <w:r w:rsidR="00DA3586">
              <w:rPr>
                <w:rFonts w:ascii="Arial" w:hAnsi="Arial"/>
              </w:rPr>
              <w:t>04</w:t>
            </w:r>
          </w:p>
        </w:tc>
      </w:tr>
      <w:tr w:rsidR="000D6DA7" w14:paraId="1FFDA5D2" w14:textId="77777777" w:rsidTr="00767C25">
        <w:trPr>
          <w:jc w:val="center"/>
        </w:trPr>
        <w:tc>
          <w:tcPr>
            <w:tcW w:w="4370" w:type="dxa"/>
            <w:tcBorders>
              <w:left w:val="double" w:sz="6" w:space="0" w:color="auto"/>
            </w:tcBorders>
          </w:tcPr>
          <w:p w14:paraId="35F17CA2" w14:textId="498D1DBD"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w:t>
            </w:r>
            <w:r w:rsidR="00DB730B">
              <w:rPr>
                <w:rFonts w:ascii="Arial" w:hAnsi="Arial"/>
              </w:rPr>
              <w:t>3</w:t>
            </w:r>
          </w:p>
        </w:tc>
        <w:tc>
          <w:tcPr>
            <w:tcW w:w="5008" w:type="dxa"/>
            <w:gridSpan w:val="2"/>
            <w:tcBorders>
              <w:right w:val="double" w:sz="6" w:space="0" w:color="auto"/>
            </w:tcBorders>
          </w:tcPr>
          <w:p w14:paraId="0C47225B" w14:textId="302F1FF3"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DA3586">
              <w:rPr>
                <w:rFonts w:ascii="Arial" w:hAnsi="Arial"/>
              </w:rPr>
              <w:t>March 7</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276A1A52"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DB730B">
              <w:rPr>
                <w:rFonts w:ascii="Arial" w:hAnsi="Arial" w:cs="Arial"/>
                <w:bCs/>
              </w:rPr>
              <w:t>4</w:t>
            </w:r>
            <w:r w:rsidR="006D5EFE">
              <w:rPr>
                <w:rFonts w:ascii="Arial" w:hAnsi="Arial" w:cs="Arial"/>
                <w:bCs/>
              </w:rPr>
              <w:t>C</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2F4B5E6E" w14:textId="5798917D" w:rsidR="00F85351" w:rsidRDefault="000D6DA7" w:rsidP="00D01797">
            <w:pPr>
              <w:spacing w:before="0"/>
              <w:ind w:left="144" w:right="144"/>
              <w:rPr>
                <w:rFonts w:ascii="Arial" w:hAnsi="Arial"/>
                <w:bCs/>
                <w:iCs/>
              </w:rPr>
            </w:pPr>
            <w:r>
              <w:rPr>
                <w:rFonts w:ascii="Arial" w:hAnsi="Arial"/>
                <w:bCs/>
                <w:iCs/>
              </w:rPr>
              <w:t>FAA Spectrum Engineering Services</w:t>
            </w:r>
          </w:p>
          <w:p w14:paraId="34DD58E8" w14:textId="77777777" w:rsidR="00F85351" w:rsidRDefault="00F85351" w:rsidP="004C757E">
            <w:pPr>
              <w:spacing w:before="0"/>
              <w:ind w:left="144"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48DBCFCB"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r w:rsidRPr="00C7252B">
              <w:rPr>
                <w:rFonts w:ascii="Arial" w:hAnsi="Arial"/>
                <w:bCs/>
                <w:lang w:val="fr-FR"/>
              </w:rPr>
              <w:t xml:space="preserve">Phone: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Email: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Email: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3241528A" w:rsidR="000D6DA7" w:rsidRPr="00001E89" w:rsidRDefault="000D6DA7" w:rsidP="00D01797">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DB730B">
              <w:rPr>
                <w:rFonts w:ascii="Arial" w:hAnsi="Arial"/>
                <w:bCs/>
              </w:rPr>
              <w:t>4</w:t>
            </w:r>
            <w:r w:rsidR="006D5EFE">
              <w:rPr>
                <w:rFonts w:ascii="Arial" w:hAnsi="Arial"/>
                <w:bCs/>
              </w:rPr>
              <w:t xml:space="preserve">C regarding </w:t>
            </w:r>
            <w:bookmarkStart w:id="1" w:name="_Hlk157164661"/>
            <w:r w:rsidR="006D5EFE">
              <w:rPr>
                <w:rFonts w:ascii="Arial" w:hAnsi="Arial"/>
                <w:bCs/>
              </w:rPr>
              <w:t>AI 1.1</w:t>
            </w:r>
            <w:bookmarkEnd w:id="1"/>
            <w:r w:rsidR="00D01797">
              <w:rPr>
                <w:rFonts w:ascii="Arial" w:hAnsi="Arial"/>
                <w:bCs/>
              </w:rPr>
              <w:t>3 to help</w:t>
            </w:r>
            <w:r w:rsidR="000F1E16">
              <w:rPr>
                <w:rFonts w:ascii="Arial" w:hAnsi="Arial"/>
                <w:bCs/>
              </w:rPr>
              <w:t xml:space="preserve"> WP </w:t>
            </w:r>
            <w:r w:rsidR="00FB76F3">
              <w:rPr>
                <w:rFonts w:ascii="Arial" w:hAnsi="Arial"/>
                <w:bCs/>
              </w:rPr>
              <w:t>4</w:t>
            </w:r>
            <w:r w:rsidR="004449A7">
              <w:rPr>
                <w:rFonts w:ascii="Arial" w:hAnsi="Arial"/>
                <w:bCs/>
              </w:rPr>
              <w:t>C</w:t>
            </w:r>
            <w:r w:rsidR="000F1E16">
              <w:rPr>
                <w:rFonts w:ascii="Arial" w:hAnsi="Arial"/>
                <w:bCs/>
              </w:rPr>
              <w:t xml:space="preserve"> to proceed with its planning</w:t>
            </w:r>
            <w:r w:rsidR="00D01797">
              <w:rPr>
                <w:rFonts w:ascii="Arial" w:hAnsi="Arial"/>
                <w:bCs/>
              </w:rPr>
              <w:t xml:space="preserve"> for sharing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6403CF45"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DB730B">
              <w:rPr>
                <w:rFonts w:ascii="Arial" w:hAnsi="Arial"/>
                <w:b/>
              </w:rPr>
              <w:t>253</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w:t>
            </w:r>
            <w:r w:rsidR="00245C7D">
              <w:rPr>
                <w:rFonts w:ascii="Arial" w:hAnsi="Arial"/>
                <w:bCs/>
              </w:rPr>
              <w:t>3</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 xml:space="preserve">liaison statement to WP </w:t>
            </w:r>
            <w:r w:rsidR="00DB730B">
              <w:rPr>
                <w:rFonts w:ascii="Arial" w:hAnsi="Arial"/>
                <w:bCs/>
              </w:rPr>
              <w:t>4</w:t>
            </w:r>
            <w:r w:rsidR="000F1E16">
              <w:rPr>
                <w:rFonts w:ascii="Arial" w:hAnsi="Arial"/>
                <w:bCs/>
              </w:rPr>
              <w:t xml:space="preserve">C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D01797">
              <w:rPr>
                <w:rFonts w:ascii="Arial" w:hAnsi="Arial"/>
                <w:bCs/>
              </w:rPr>
              <w:t>information of</w:t>
            </w:r>
            <w:r w:rsidR="00DB730B">
              <w:rPr>
                <w:rFonts w:ascii="Arial" w:hAnsi="Arial"/>
                <w:bCs/>
              </w:rPr>
              <w:t xml:space="preserve"> </w:t>
            </w:r>
            <w:r w:rsidR="0010217F" w:rsidRPr="0010217F">
              <w:rPr>
                <w:rFonts w:ascii="Arial" w:hAnsi="Arial"/>
                <w:bCs/>
              </w:rPr>
              <w:t>systems</w:t>
            </w:r>
            <w:r w:rsidR="00D01797">
              <w:rPr>
                <w:rFonts w:ascii="Arial" w:hAnsi="Arial"/>
                <w:bCs/>
              </w:rPr>
              <w:t xml:space="preserve"> </w:t>
            </w:r>
            <w:r w:rsidR="0010217F">
              <w:rPr>
                <w:rFonts w:ascii="Arial" w:hAnsi="Arial"/>
                <w:bCs/>
              </w:rPr>
              <w:t>operating</w:t>
            </w:r>
            <w:r w:rsidR="0010217F" w:rsidRPr="0010217F">
              <w:rPr>
                <w:rFonts w:ascii="Arial" w:hAnsi="Arial"/>
                <w:bCs/>
              </w:rPr>
              <w:t xml:space="preserve"> in the frequency band</w:t>
            </w:r>
            <w:r w:rsidR="00DB730B">
              <w:rPr>
                <w:rFonts w:ascii="Arial" w:hAnsi="Arial"/>
                <w:bCs/>
              </w:rPr>
              <w:t>s</w:t>
            </w:r>
            <w:r w:rsidR="0010217F" w:rsidRPr="0010217F">
              <w:rPr>
                <w:rFonts w:ascii="Arial" w:hAnsi="Arial"/>
                <w:bCs/>
              </w:rPr>
              <w:t xml:space="preserve"> </w:t>
            </w:r>
            <w:r w:rsidR="00DB730B">
              <w:rPr>
                <w:rFonts w:ascii="Arial" w:hAnsi="Arial"/>
                <w:bCs/>
              </w:rPr>
              <w:t>960-1 215 M</w:t>
            </w:r>
            <w:r w:rsidR="00AB7B48">
              <w:rPr>
                <w:rFonts w:ascii="Arial" w:hAnsi="Arial"/>
                <w:bCs/>
              </w:rPr>
              <w:t>Hz</w:t>
            </w:r>
            <w:r w:rsidR="007E61D9">
              <w:rPr>
                <w:rFonts w:ascii="Arial" w:hAnsi="Arial"/>
                <w:bCs/>
              </w:rPr>
              <w:t>,</w:t>
            </w:r>
            <w:r w:rsidR="00AB7B48">
              <w:rPr>
                <w:rFonts w:ascii="Arial" w:hAnsi="Arial"/>
                <w:bCs/>
              </w:rPr>
              <w:t xml:space="preserve"> 1 215-1 3</w:t>
            </w:r>
            <w:r w:rsidR="00800856">
              <w:rPr>
                <w:rFonts w:ascii="Arial" w:hAnsi="Arial"/>
                <w:bCs/>
              </w:rPr>
              <w:t>7</w:t>
            </w:r>
            <w:r w:rsidR="00AB7B48">
              <w:rPr>
                <w:rFonts w:ascii="Arial" w:hAnsi="Arial"/>
                <w:bCs/>
              </w:rPr>
              <w:t>0 MHz</w:t>
            </w:r>
            <w:r w:rsidR="007E61D9">
              <w:rPr>
                <w:rFonts w:ascii="Arial" w:hAnsi="Arial"/>
                <w:bCs/>
              </w:rPr>
              <w:t xml:space="preserve">, </w:t>
            </w:r>
            <w:r w:rsidR="007E61D9" w:rsidRPr="007E61D9">
              <w:rPr>
                <w:rFonts w:ascii="Arial" w:hAnsi="Arial"/>
                <w:bCs/>
              </w:rPr>
              <w:t>and in the adjacent band 2.7-2.9 GHz.</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4" w:name="ditulogo"/>
            <w:bookmarkEnd w:id="4"/>
            <w:r>
              <w:rPr>
                <w:noProof/>
                <w:lang w:val="en-US"/>
              </w:rPr>
              <w:drawing>
                <wp:inline distT="0" distB="0" distL="0" distR="0" wp14:anchorId="35365F55" wp14:editId="7391B1D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5138210C"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w:t>
            </w:r>
            <w:r w:rsidR="00DB730B">
              <w:rPr>
                <w:rFonts w:ascii="Verdana" w:hAnsi="Verdana"/>
                <w:sz w:val="20"/>
              </w:rPr>
              <w:t>3</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7" w:name="ddate" w:colFirst="1" w:colLast="1"/>
            <w:bookmarkEnd w:id="6"/>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8" w:name="dorlang" w:colFirst="1" w:colLast="1"/>
            <w:bookmarkEnd w:id="7"/>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9" w:name="dsource" w:colFirst="0" w:colLast="0"/>
            <w:bookmarkEnd w:id="8"/>
            <w:r>
              <w:rPr>
                <w:lang w:eastAsia="zh-CN"/>
              </w:rPr>
              <w:t>United States of America</w:t>
            </w:r>
          </w:p>
        </w:tc>
      </w:tr>
      <w:tr w:rsidR="009F2ED2" w14:paraId="4C6405C7" w14:textId="77777777" w:rsidTr="00C2563C">
        <w:trPr>
          <w:cantSplit/>
        </w:trPr>
        <w:tc>
          <w:tcPr>
            <w:tcW w:w="9889" w:type="dxa"/>
            <w:gridSpan w:val="2"/>
          </w:tcPr>
          <w:p w14:paraId="0F46370F" w14:textId="17F75FB4" w:rsidR="009F2ED2" w:rsidRDefault="0010217F" w:rsidP="00C2563C">
            <w:pPr>
              <w:pStyle w:val="Title1"/>
              <w:rPr>
                <w:lang w:val="en-US" w:eastAsia="zh-CN"/>
              </w:rPr>
            </w:pPr>
            <w:bookmarkStart w:id="10" w:name="drec" w:colFirst="0" w:colLast="0"/>
            <w:bookmarkEnd w:id="9"/>
            <w:r>
              <w:rPr>
                <w:lang w:val="en-US" w:eastAsia="zh-CN"/>
              </w:rPr>
              <w:t>proposed</w:t>
            </w:r>
            <w:r w:rsidR="003C35D1">
              <w:rPr>
                <w:lang w:val="en-US" w:eastAsia="zh-CN"/>
              </w:rPr>
              <w:t xml:space="preserve"> draft</w:t>
            </w:r>
            <w:r>
              <w:rPr>
                <w:lang w:val="en-US" w:eastAsia="zh-CN"/>
              </w:rPr>
              <w:t xml:space="preserve"> reply liaison statement to Working party </w:t>
            </w:r>
            <w:r w:rsidR="00DB730B">
              <w:rPr>
                <w:lang w:val="en-US" w:eastAsia="zh-CN"/>
              </w:rPr>
              <w:t>4</w:t>
            </w:r>
            <w:r>
              <w:rPr>
                <w:lang w:val="en-US" w:eastAsia="zh-CN"/>
              </w:rPr>
              <w:t>c</w:t>
            </w:r>
          </w:p>
          <w:p w14:paraId="13BAFDD0" w14:textId="77777777" w:rsidR="00801BBD" w:rsidRPr="00801BBD" w:rsidRDefault="00801BBD" w:rsidP="00801BBD">
            <w:pPr>
              <w:rPr>
                <w:lang w:val="en-US" w:eastAsia="zh-CN"/>
              </w:rPr>
            </w:pPr>
          </w:p>
          <w:p w14:paraId="07A7D35B" w14:textId="2E87D450"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w:t>
            </w:r>
            <w:r w:rsidR="00DB730B">
              <w:rPr>
                <w:b/>
                <w:lang w:val="en-US" w:eastAsia="zh-CN"/>
              </w:rPr>
              <w:t>3</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1" w:name="dtitle1" w:colFirst="0" w:colLast="0"/>
            <w:bookmarkEnd w:id="10"/>
          </w:p>
        </w:tc>
      </w:tr>
    </w:tbl>
    <w:p w14:paraId="40E9AD95" w14:textId="77777777" w:rsidR="009F2ED2" w:rsidRPr="00CF76AA" w:rsidRDefault="009F2ED2" w:rsidP="009F2ED2">
      <w:pPr>
        <w:rPr>
          <w:b/>
          <w:lang w:val="en-US" w:eastAsia="zh-CN"/>
        </w:rPr>
      </w:pPr>
      <w:bookmarkStart w:id="12" w:name="dbreak"/>
      <w:bookmarkEnd w:id="11"/>
      <w:bookmarkEnd w:id="12"/>
      <w:r w:rsidRPr="00CF76AA">
        <w:rPr>
          <w:b/>
          <w:lang w:val="en-US" w:eastAsia="zh-CN"/>
        </w:rPr>
        <w:t>Introduction</w:t>
      </w:r>
    </w:p>
    <w:p w14:paraId="3900758C" w14:textId="05AA1522" w:rsidR="000F022A" w:rsidRPr="00A74C6B" w:rsidRDefault="00ED4432"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w:t>
      </w:r>
      <w:r>
        <w:rPr>
          <w:bCs/>
          <w:lang w:eastAsia="zh-CN"/>
        </w:rPr>
        <w:t>3 considers</w:t>
      </w:r>
      <w:r w:rsidRPr="00640FF8">
        <w:rPr>
          <w:bCs/>
          <w:lang w:eastAsia="zh-CN"/>
        </w:rPr>
        <w:t xml:space="preserve"> </w:t>
      </w:r>
      <w:r w:rsidRPr="00DB730B">
        <w:rPr>
          <w:bCs/>
          <w:lang w:eastAsia="zh-CN"/>
        </w:rPr>
        <w:t>possible new allocations to the mobile-satellite service</w:t>
      </w:r>
      <w:r>
        <w:rPr>
          <w:bCs/>
          <w:lang w:eastAsia="zh-CN"/>
        </w:rPr>
        <w:t xml:space="preserve"> in the frequency range between 694/698 MHz and 2.7 GHz,</w:t>
      </w:r>
      <w:r w:rsidRPr="00DB730B">
        <w:rPr>
          <w:bCs/>
          <w:lang w:eastAsia="zh-CN"/>
        </w:rPr>
        <w:t xml:space="preserve"> for direct connectivity between space stations and International Mobile Telecommunications (IMT) user equipment to complement terrestrial IMT network coverage, in accordance with Resolution </w:t>
      </w:r>
      <w:r w:rsidRPr="00DB730B">
        <w:rPr>
          <w:b/>
          <w:lang w:eastAsia="zh-CN"/>
        </w:rPr>
        <w:t>253 (WRC-23)</w:t>
      </w:r>
      <w:r w:rsidRPr="00640FF8">
        <w:rPr>
          <w:bCs/>
          <w:lang w:eastAsia="zh-CN"/>
        </w:rPr>
        <w:t>.</w:t>
      </w:r>
      <w:r>
        <w:rPr>
          <w:bCs/>
          <w:lang w:eastAsia="zh-CN"/>
        </w:rPr>
        <w:t xml:space="preserve">  </w:t>
      </w:r>
      <w:r w:rsidR="00640FF8">
        <w:rPr>
          <w:bCs/>
          <w:lang w:eastAsia="zh-CN"/>
        </w:rPr>
        <w:t>T</w:t>
      </w:r>
      <w:r w:rsidR="0010217F" w:rsidRPr="0010217F">
        <w:rPr>
          <w:bCs/>
          <w:lang w:eastAsia="zh-CN"/>
        </w:rPr>
        <w:t xml:space="preserve">his contribution proposes a draft reply liaison statement to WP </w:t>
      </w:r>
      <w:r w:rsidR="00DB730B">
        <w:rPr>
          <w:bCs/>
          <w:lang w:eastAsia="zh-CN"/>
        </w:rPr>
        <w:t>4</w:t>
      </w:r>
      <w:r w:rsidR="0010217F" w:rsidRPr="0010217F">
        <w:rPr>
          <w:bCs/>
          <w:lang w:eastAsia="zh-CN"/>
        </w:rPr>
        <w:t xml:space="preserve">C with </w:t>
      </w:r>
      <w:r w:rsidR="00640FF8">
        <w:rPr>
          <w:bCs/>
          <w:lang w:eastAsia="zh-CN"/>
        </w:rPr>
        <w:t>relevant</w:t>
      </w:r>
      <w:r w:rsidR="0010217F" w:rsidRPr="0010217F">
        <w:rPr>
          <w:bCs/>
          <w:lang w:eastAsia="zh-CN"/>
        </w:rPr>
        <w:t xml:space="preserve"> </w:t>
      </w:r>
      <w:r w:rsidR="00E05C0C">
        <w:rPr>
          <w:bCs/>
          <w:lang w:eastAsia="zh-CN"/>
        </w:rPr>
        <w:t xml:space="preserve">technical </w:t>
      </w:r>
      <w:r w:rsidR="00D01797">
        <w:rPr>
          <w:bCs/>
          <w:lang w:eastAsia="zh-CN"/>
        </w:rPr>
        <w:t>information of</w:t>
      </w:r>
      <w:r w:rsidR="0010217F" w:rsidRPr="0010217F">
        <w:rPr>
          <w:bCs/>
          <w:lang w:eastAsia="zh-CN"/>
        </w:rPr>
        <w:t xml:space="preserve"> </w:t>
      </w:r>
      <w:r w:rsidR="00701EF2">
        <w:rPr>
          <w:bCs/>
          <w:lang w:eastAsia="zh-CN"/>
        </w:rPr>
        <w:t xml:space="preserve">aviation </w:t>
      </w:r>
      <w:r w:rsidR="0010217F" w:rsidRPr="0010217F">
        <w:rPr>
          <w:bCs/>
          <w:lang w:eastAsia="zh-CN"/>
        </w:rPr>
        <w:t xml:space="preserve">systems </w:t>
      </w:r>
      <w:r w:rsidR="00DB730B" w:rsidRPr="00DB730B">
        <w:rPr>
          <w:bCs/>
          <w:lang w:eastAsia="zh-CN"/>
        </w:rPr>
        <w:t>operating in the</w:t>
      </w:r>
      <w:r w:rsidR="00AB7B48">
        <w:rPr>
          <w:bCs/>
          <w:lang w:eastAsia="zh-CN"/>
        </w:rPr>
        <w:t xml:space="preserve"> frequency bands </w:t>
      </w:r>
      <w:r w:rsidR="00DB730B" w:rsidRPr="00DB730B">
        <w:rPr>
          <w:bCs/>
          <w:lang w:eastAsia="zh-CN"/>
        </w:rPr>
        <w:t>960-1 215 M</w:t>
      </w:r>
      <w:r w:rsidR="00AB7B48">
        <w:rPr>
          <w:bCs/>
          <w:lang w:eastAsia="zh-CN"/>
        </w:rPr>
        <w:t>Hz</w:t>
      </w:r>
      <w:r w:rsidR="00DA329B">
        <w:rPr>
          <w:bCs/>
          <w:lang w:eastAsia="zh-CN"/>
        </w:rPr>
        <w:t>,</w:t>
      </w:r>
      <w:r w:rsidR="00AB7B48">
        <w:rPr>
          <w:bCs/>
          <w:lang w:eastAsia="zh-CN"/>
        </w:rPr>
        <w:t xml:space="preserve"> 1 </w:t>
      </w:r>
      <w:r w:rsidR="00800856">
        <w:rPr>
          <w:bCs/>
          <w:lang w:eastAsia="zh-CN"/>
        </w:rPr>
        <w:t>215</w:t>
      </w:r>
      <w:r w:rsidR="00DB730B" w:rsidRPr="00DB730B">
        <w:rPr>
          <w:bCs/>
          <w:lang w:eastAsia="zh-CN"/>
        </w:rPr>
        <w:t>-1 370 MHz</w:t>
      </w:r>
      <w:r w:rsidR="00DA329B">
        <w:rPr>
          <w:bCs/>
          <w:lang w:eastAsia="zh-CN"/>
        </w:rPr>
        <w:t>, and in the adjacent band 2.7-2.9 GHz</w:t>
      </w:r>
      <w:r w:rsidR="0010217F" w:rsidRPr="0010217F">
        <w:rPr>
          <w:bCs/>
          <w:lang w:eastAsia="zh-CN"/>
        </w:rPr>
        <w:t>.</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5353DD47" w:rsidR="00085E28" w:rsidRDefault="009521ED" w:rsidP="009D7E2B">
      <w:pPr>
        <w:pStyle w:val="Heading1"/>
        <w:spacing w:line="360" w:lineRule="auto"/>
        <w:jc w:val="center"/>
        <w:rPr>
          <w:lang w:val="en-US"/>
        </w:rPr>
      </w:pPr>
      <w:r>
        <w:rPr>
          <w:lang w:val="en-US"/>
        </w:rPr>
        <w:t>Working Party 5B</w:t>
      </w:r>
    </w:p>
    <w:p w14:paraId="694DFBFD" w14:textId="34BA1D8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r w:rsidR="00DB730B">
        <w:rPr>
          <w:lang w:val="en-US"/>
        </w:rPr>
        <w:t>4</w:t>
      </w:r>
      <w:r>
        <w:rPr>
          <w:lang w:val="en-US"/>
        </w:rPr>
        <w:t>C</w:t>
      </w:r>
      <w:r w:rsidR="00E05C0C">
        <w:rPr>
          <w:lang w:val="en-US"/>
        </w:rPr>
        <w:t xml:space="preserve"> </w:t>
      </w:r>
    </w:p>
    <w:p w14:paraId="4E8F54F1" w14:textId="38C700DC" w:rsidR="009F037B" w:rsidRDefault="009521ED" w:rsidP="009F037B">
      <w:pPr>
        <w:pStyle w:val="Title3"/>
        <w:rPr>
          <w:b/>
          <w:bCs/>
          <w:lang w:val="en-US"/>
        </w:rPr>
      </w:pPr>
      <w:r>
        <w:rPr>
          <w:b/>
          <w:bCs/>
          <w:lang w:val="en-US"/>
        </w:rPr>
        <w:t>Relevant technical information for sharing studies under WRC-27 Agenda Item 1.1</w:t>
      </w:r>
      <w:r w:rsidR="00DB730B">
        <w:rPr>
          <w:b/>
          <w:bCs/>
          <w:lang w:val="en-US"/>
        </w:rPr>
        <w:t>3</w:t>
      </w:r>
    </w:p>
    <w:p w14:paraId="73ACC564" w14:textId="77777777" w:rsidR="004C74C9" w:rsidRPr="004C74C9" w:rsidRDefault="004C74C9" w:rsidP="004C74C9">
      <w:pPr>
        <w:rPr>
          <w:lang w:val="en-US"/>
        </w:rPr>
      </w:pPr>
    </w:p>
    <w:p w14:paraId="423873C3" w14:textId="5D4B5E0E" w:rsidR="00ED4432" w:rsidRPr="009B1455" w:rsidRDefault="00ED4432" w:rsidP="00ED4432">
      <w:pPr>
        <w:rPr>
          <w:lang w:val="en-US"/>
        </w:rPr>
      </w:pPr>
      <w:r w:rsidRPr="009B1455">
        <w:rPr>
          <w:lang w:val="en-US"/>
        </w:rPr>
        <w:t>Working Party (WP) 5</w:t>
      </w:r>
      <w:r>
        <w:rPr>
          <w:lang w:val="en-US"/>
        </w:rPr>
        <w:t>B</w:t>
      </w:r>
      <w:r w:rsidRPr="009B1455">
        <w:rPr>
          <w:lang w:val="en-US"/>
        </w:rPr>
        <w:t xml:space="preserve"> thanks WP </w:t>
      </w:r>
      <w:r>
        <w:rPr>
          <w:lang w:val="en-US"/>
        </w:rPr>
        <w:t>4C</w:t>
      </w:r>
      <w:r w:rsidRPr="009B1455">
        <w:rPr>
          <w:lang w:val="en-US"/>
        </w:rPr>
        <w:t xml:space="preserve"> for its liaison statement (</w:t>
      </w:r>
      <w:r w:rsidRPr="000062EC">
        <w:rPr>
          <w:highlight w:val="yellow"/>
          <w:lang w:val="en-US"/>
        </w:rPr>
        <w:t>Document 5</w:t>
      </w:r>
      <w:r w:rsidR="00701EF2">
        <w:rPr>
          <w:highlight w:val="yellow"/>
          <w:lang w:val="en-US"/>
        </w:rPr>
        <w:t>B</w:t>
      </w:r>
      <w:r w:rsidRPr="000062EC">
        <w:rPr>
          <w:highlight w:val="yellow"/>
          <w:lang w:val="en-US"/>
        </w:rPr>
        <w:t>/xx</w:t>
      </w:r>
      <w:r w:rsidRPr="009B1455">
        <w:rPr>
          <w:lang w:val="en-US"/>
        </w:rPr>
        <w:t xml:space="preserve">), requesting the characteristics and protection criteria </w:t>
      </w:r>
      <w:r>
        <w:rPr>
          <w:lang w:val="en-US"/>
        </w:rPr>
        <w:t>of the</w:t>
      </w:r>
      <w:r w:rsidRPr="009B1455">
        <w:rPr>
          <w:lang w:val="en-US"/>
        </w:rPr>
        <w:t xml:space="preserve"> systems operating in the</w:t>
      </w:r>
      <w:r>
        <w:rPr>
          <w:lang w:val="en-US"/>
        </w:rPr>
        <w:t xml:space="preserve"> frequency range between 694/698 MHz and 2.7 GHz</w:t>
      </w:r>
      <w:r w:rsidRPr="009B1455">
        <w:rPr>
          <w:lang w:val="en-US"/>
        </w:rPr>
        <w:t>, for sharing/compatibility studies</w:t>
      </w:r>
      <w:r w:rsidR="00A12D7A">
        <w:rPr>
          <w:lang w:val="en-US"/>
        </w:rPr>
        <w:t xml:space="preserve"> between incumbent services including in adjacent frequency bands,</w:t>
      </w:r>
      <w:r w:rsidRPr="009B1455">
        <w:rPr>
          <w:lang w:val="en-US"/>
        </w:rPr>
        <w:t xml:space="preserve"> under WRC-2</w:t>
      </w:r>
      <w:r>
        <w:rPr>
          <w:lang w:val="en-US"/>
        </w:rPr>
        <w:t>7</w:t>
      </w:r>
      <w:r w:rsidRPr="009B1455">
        <w:rPr>
          <w:lang w:val="en-US"/>
        </w:rPr>
        <w:t xml:space="preserve"> agenda item </w:t>
      </w:r>
      <w:r w:rsidR="00701EF2">
        <w:rPr>
          <w:lang w:val="en-US"/>
        </w:rPr>
        <w:t>1.13.</w:t>
      </w:r>
    </w:p>
    <w:p w14:paraId="0ABDDC4E" w14:textId="6CFC5E8B" w:rsidR="00ED4432" w:rsidRPr="009B1455" w:rsidRDefault="00ED4432" w:rsidP="00ED4432">
      <w:pPr>
        <w:rPr>
          <w:lang w:val="en-US"/>
        </w:rPr>
      </w:pPr>
      <w:r w:rsidRPr="009B1455">
        <w:rPr>
          <w:lang w:val="en-US"/>
        </w:rPr>
        <w:t>WP 5</w:t>
      </w:r>
      <w:r w:rsidR="00701EF2">
        <w:rPr>
          <w:lang w:val="en-US"/>
        </w:rPr>
        <w:t>B</w:t>
      </w:r>
      <w:r w:rsidRPr="009B1455">
        <w:rPr>
          <w:lang w:val="en-US"/>
        </w:rPr>
        <w:t xml:space="preserve"> highlights the following ITU-R recommendations</w:t>
      </w:r>
      <w:r w:rsidR="007E61D9">
        <w:rPr>
          <w:lang w:val="en-US"/>
        </w:rPr>
        <w:t xml:space="preserve"> and ICAO document</w:t>
      </w:r>
      <w:r w:rsidRPr="009B1455">
        <w:rPr>
          <w:lang w:val="en-US"/>
        </w:rPr>
        <w:t xml:space="preserve"> that provide</w:t>
      </w:r>
      <w:r>
        <w:rPr>
          <w:lang w:val="en-US"/>
        </w:rPr>
        <w:t xml:space="preserve"> relevant technical</w:t>
      </w:r>
      <w:r w:rsidRPr="009B1455">
        <w:rPr>
          <w:lang w:val="en-US"/>
        </w:rPr>
        <w:t xml:space="preserve"> information </w:t>
      </w:r>
      <w:r>
        <w:rPr>
          <w:lang w:val="en-US"/>
        </w:rPr>
        <w:t>of</w:t>
      </w:r>
      <w:r w:rsidRPr="009B1455">
        <w:rPr>
          <w:lang w:val="en-US"/>
        </w:rPr>
        <w:t xml:space="preserve"> </w:t>
      </w:r>
      <w:r w:rsidR="00701EF2">
        <w:rPr>
          <w:lang w:val="en-US"/>
        </w:rPr>
        <w:t xml:space="preserve">aviation </w:t>
      </w:r>
      <w:r w:rsidRPr="009B1455">
        <w:rPr>
          <w:lang w:val="en-US"/>
        </w:rPr>
        <w:t>systems</w:t>
      </w:r>
      <w:r w:rsidR="00701EF2">
        <w:rPr>
          <w:lang w:val="en-US"/>
        </w:rPr>
        <w:t xml:space="preserve"> </w:t>
      </w:r>
      <w:r w:rsidR="00701EF2" w:rsidRPr="00DB730B">
        <w:rPr>
          <w:bCs/>
          <w:lang w:eastAsia="zh-CN"/>
        </w:rPr>
        <w:t>operating in the</w:t>
      </w:r>
      <w:r w:rsidR="00701EF2">
        <w:rPr>
          <w:bCs/>
          <w:lang w:eastAsia="zh-CN"/>
        </w:rPr>
        <w:t xml:space="preserve"> frequency bands </w:t>
      </w:r>
      <w:r w:rsidR="00701EF2" w:rsidRPr="00DB730B">
        <w:rPr>
          <w:bCs/>
          <w:lang w:eastAsia="zh-CN"/>
        </w:rPr>
        <w:t>960-1 215 M</w:t>
      </w:r>
      <w:r w:rsidR="00701EF2">
        <w:rPr>
          <w:bCs/>
          <w:lang w:eastAsia="zh-CN"/>
        </w:rPr>
        <w:t>Hz</w:t>
      </w:r>
      <w:r w:rsidR="00A12D7A">
        <w:rPr>
          <w:bCs/>
          <w:lang w:eastAsia="zh-CN"/>
        </w:rPr>
        <w:t>,</w:t>
      </w:r>
      <w:r w:rsidR="00701EF2">
        <w:rPr>
          <w:bCs/>
          <w:lang w:eastAsia="zh-CN"/>
        </w:rPr>
        <w:t xml:space="preserve"> 1 215</w:t>
      </w:r>
      <w:r w:rsidR="00701EF2" w:rsidRPr="00DB730B">
        <w:rPr>
          <w:bCs/>
          <w:lang w:eastAsia="zh-CN"/>
        </w:rPr>
        <w:t xml:space="preserve">-1 </w:t>
      </w:r>
      <w:r w:rsidR="00726017">
        <w:rPr>
          <w:bCs/>
          <w:lang w:eastAsia="zh-CN"/>
        </w:rPr>
        <w:t>37</w:t>
      </w:r>
      <w:r w:rsidR="00701EF2" w:rsidRPr="00DB730B">
        <w:rPr>
          <w:bCs/>
          <w:lang w:eastAsia="zh-CN"/>
        </w:rPr>
        <w:t>0 MHz</w:t>
      </w:r>
      <w:r w:rsidR="00A12D7A">
        <w:rPr>
          <w:bCs/>
          <w:lang w:eastAsia="zh-CN"/>
        </w:rPr>
        <w:t>, and in the adjacent frequency band 2.7-2.9 GHz</w:t>
      </w:r>
      <w:r w:rsidRPr="009B1455">
        <w:rPr>
          <w:lang w:val="en-US"/>
        </w:rPr>
        <w:t>:</w:t>
      </w:r>
    </w:p>
    <w:p w14:paraId="7EAA4CDE" w14:textId="0BBF731A" w:rsidR="00701EF2" w:rsidRDefault="00701EF2" w:rsidP="00701EF2">
      <w:pPr>
        <w:rPr>
          <w:lang w:val="en-US"/>
        </w:rPr>
      </w:pPr>
      <w:r>
        <w:rPr>
          <w:b/>
          <w:bCs/>
          <w:lang w:val="en-US"/>
        </w:rPr>
        <w:t xml:space="preserve">Recommendation </w:t>
      </w:r>
      <w:r w:rsidRPr="00E951BA">
        <w:rPr>
          <w:b/>
          <w:bCs/>
          <w:lang w:val="en-US"/>
        </w:rPr>
        <w:t xml:space="preserve">ITU-R </w:t>
      </w:r>
      <w:r>
        <w:rPr>
          <w:b/>
          <w:bCs/>
          <w:lang w:val="en-US"/>
        </w:rPr>
        <w:t>M.1463-3</w:t>
      </w:r>
      <w:r w:rsidRPr="009B1455">
        <w:rPr>
          <w:lang w:val="en-US"/>
        </w:rPr>
        <w:t xml:space="preserve"> </w:t>
      </w:r>
      <w:r>
        <w:rPr>
          <w:lang w:val="en-US"/>
        </w:rPr>
        <w:t xml:space="preserve">   Characteristics of and protection criteria for radars operating in the radiodetermination service in the frequency band 1 215-1 400 MHz (02/2015)</w:t>
      </w:r>
    </w:p>
    <w:p w14:paraId="6653DB01" w14:textId="7D2E481E" w:rsidR="00701EF2" w:rsidRDefault="00701EF2" w:rsidP="00701EF2">
      <w:pPr>
        <w:ind w:left="720"/>
        <w:rPr>
          <w:lang w:eastAsia="zh-CN"/>
        </w:rPr>
      </w:pPr>
      <w:r w:rsidRPr="00701EF2">
        <w:rPr>
          <w:lang w:val="en-US"/>
        </w:rPr>
        <w:t xml:space="preserve">This Recommendation provides technical and operational characteristics, as well as protection criteria, of operational </w:t>
      </w:r>
      <w:r w:rsidR="007E61D9" w:rsidRPr="00701EF2">
        <w:rPr>
          <w:lang w:val="en-US"/>
        </w:rPr>
        <w:t>ground-based</w:t>
      </w:r>
      <w:r w:rsidRPr="00701EF2">
        <w:rPr>
          <w:lang w:val="en-US"/>
        </w:rPr>
        <w:t xml:space="preserve"> radars in the frequency band 1 215-1 400 MHz. The Recommendation includes representative characteristics on the transmitter, receiver, and antenna components of these radars</w:t>
      </w:r>
      <w:r>
        <w:rPr>
          <w:lang w:val="en-US"/>
        </w:rPr>
        <w:t xml:space="preserve">.  Representative technical characteristics of </w:t>
      </w:r>
      <w:r w:rsidR="00726017">
        <w:rPr>
          <w:lang w:val="en-US"/>
        </w:rPr>
        <w:t>RDS radars</w:t>
      </w:r>
      <w:r>
        <w:rPr>
          <w:lang w:val="en-US"/>
        </w:rPr>
        <w:t xml:space="preserve"> in </w:t>
      </w:r>
      <w:r w:rsidR="00726017">
        <w:rPr>
          <w:lang w:val="en-US"/>
        </w:rPr>
        <w:t>1 215</w:t>
      </w:r>
      <w:r>
        <w:rPr>
          <w:lang w:val="en-US"/>
        </w:rPr>
        <w:t>-</w:t>
      </w:r>
      <w:r w:rsidR="00726017">
        <w:rPr>
          <w:lang w:val="en-US"/>
        </w:rPr>
        <w:t>1 4</w:t>
      </w:r>
      <w:r>
        <w:rPr>
          <w:lang w:val="en-US"/>
        </w:rPr>
        <w:t>00 MHz are in Table 1</w:t>
      </w:r>
      <w:r w:rsidR="00726017">
        <w:rPr>
          <w:lang w:val="en-US"/>
        </w:rPr>
        <w:t xml:space="preserve"> of the Annex</w:t>
      </w:r>
      <w:r>
        <w:rPr>
          <w:lang w:val="en-US"/>
        </w:rPr>
        <w:t xml:space="preserve">. The I/N protection criteria of </w:t>
      </w:r>
      <w:r w:rsidR="00726017">
        <w:rPr>
          <w:lang w:val="en-US"/>
        </w:rPr>
        <w:t>RDS radars in 1 215-1 400 MHz are in Recommends 3 of this recommendation</w:t>
      </w:r>
      <w:r>
        <w:rPr>
          <w:lang w:val="en-US"/>
        </w:rPr>
        <w:t>.</w:t>
      </w:r>
    </w:p>
    <w:p w14:paraId="3A05A708" w14:textId="77777777" w:rsidR="00701EF2" w:rsidRDefault="00701EF2" w:rsidP="00701EF2">
      <w:pPr>
        <w:rPr>
          <w:lang w:val="en-US"/>
        </w:rPr>
      </w:pPr>
    </w:p>
    <w:p w14:paraId="30C0C94A" w14:textId="0C329E1E" w:rsidR="000A20C9" w:rsidRDefault="000A20C9" w:rsidP="000A20C9">
      <w:pPr>
        <w:rPr>
          <w:lang w:val="en-US"/>
        </w:rPr>
      </w:pPr>
      <w:r>
        <w:rPr>
          <w:b/>
          <w:bCs/>
          <w:lang w:val="en-US"/>
        </w:rPr>
        <w:t xml:space="preserve">Recommendation </w:t>
      </w:r>
      <w:r w:rsidRPr="00E951BA">
        <w:rPr>
          <w:b/>
          <w:bCs/>
          <w:lang w:val="en-US"/>
        </w:rPr>
        <w:t xml:space="preserve">ITU-R </w:t>
      </w:r>
      <w:r>
        <w:rPr>
          <w:b/>
          <w:bCs/>
          <w:lang w:val="en-US"/>
        </w:rPr>
        <w:t>M.1639-1</w:t>
      </w:r>
      <w:r w:rsidRPr="009B1455">
        <w:rPr>
          <w:lang w:val="en-US"/>
        </w:rPr>
        <w:t xml:space="preserve"> </w:t>
      </w:r>
      <w:r>
        <w:rPr>
          <w:lang w:val="en-US"/>
        </w:rPr>
        <w:t xml:space="preserve">   Protection criterion for the aeronautical radionavigation service with respect to aggregate emissions from space stations in the radionavigation-satellite service in the band 1</w:t>
      </w:r>
      <w:r w:rsidR="00F808BF">
        <w:rPr>
          <w:lang w:val="en-US"/>
        </w:rPr>
        <w:t xml:space="preserve"> </w:t>
      </w:r>
      <w:r>
        <w:rPr>
          <w:lang w:val="en-US"/>
        </w:rPr>
        <w:t>164-1</w:t>
      </w:r>
      <w:r w:rsidR="00F808BF">
        <w:rPr>
          <w:lang w:val="en-US"/>
        </w:rPr>
        <w:t xml:space="preserve"> </w:t>
      </w:r>
      <w:r>
        <w:rPr>
          <w:lang w:val="en-US"/>
        </w:rPr>
        <w:t>215 MHz (2003-2005)</w:t>
      </w:r>
    </w:p>
    <w:p w14:paraId="6EF6DE31" w14:textId="0C10548C" w:rsidR="000A20C9" w:rsidRPr="00F808BF" w:rsidRDefault="000A20C9" w:rsidP="00F808BF">
      <w:pPr>
        <w:ind w:left="720"/>
        <w:rPr>
          <w:lang w:val="en-US"/>
        </w:rPr>
      </w:pPr>
      <w:r w:rsidRPr="00701EF2">
        <w:rPr>
          <w:lang w:val="en-US"/>
        </w:rPr>
        <w:t>This Recommendation</w:t>
      </w:r>
      <w:r w:rsidR="00F808BF">
        <w:rPr>
          <w:lang w:val="en-US"/>
        </w:rPr>
        <w:t xml:space="preserve"> gives the equivalent power flux density (</w:t>
      </w:r>
      <w:proofErr w:type="spellStart"/>
      <w:r w:rsidR="00F808BF">
        <w:rPr>
          <w:lang w:val="en-US"/>
        </w:rPr>
        <w:t>epfd</w:t>
      </w:r>
      <w:proofErr w:type="spellEnd"/>
      <w:r w:rsidR="00F808BF">
        <w:rPr>
          <w:lang w:val="en-US"/>
        </w:rPr>
        <w:t xml:space="preserve">) level which protects stations of the aeronautical radionavigation service (ARNS).  Some characteristics of the </w:t>
      </w:r>
      <w:r w:rsidR="00F808BF" w:rsidRPr="00F808BF">
        <w:rPr>
          <w:lang w:val="en-US"/>
        </w:rPr>
        <w:t>distance measuring</w:t>
      </w:r>
      <w:r w:rsidR="00F808BF">
        <w:rPr>
          <w:lang w:val="en-US"/>
        </w:rPr>
        <w:t xml:space="preserve"> </w:t>
      </w:r>
      <w:r w:rsidR="00F808BF" w:rsidRPr="00F808BF">
        <w:rPr>
          <w:lang w:val="en-US"/>
        </w:rPr>
        <w:t>equipment (DME)/tactical air navigation (TACAN)</w:t>
      </w:r>
      <w:r w:rsidR="00F808BF">
        <w:rPr>
          <w:lang w:val="en-US"/>
        </w:rPr>
        <w:t xml:space="preserve"> are in Annex 1 Table 1.</w:t>
      </w:r>
    </w:p>
    <w:p w14:paraId="0FB6F47E" w14:textId="77777777" w:rsidR="000A20C9" w:rsidRDefault="000A20C9" w:rsidP="000A20C9">
      <w:pPr>
        <w:rPr>
          <w:lang w:val="en-US"/>
        </w:rPr>
      </w:pPr>
    </w:p>
    <w:p w14:paraId="398AB4DE" w14:textId="4E4EEF26" w:rsidR="000A20C9" w:rsidRDefault="000A20C9" w:rsidP="000A20C9">
      <w:pPr>
        <w:rPr>
          <w:lang w:val="en-US"/>
        </w:rPr>
      </w:pPr>
      <w:r>
        <w:rPr>
          <w:b/>
          <w:bCs/>
          <w:lang w:val="en-US"/>
        </w:rPr>
        <w:t xml:space="preserve">Recommendation </w:t>
      </w:r>
      <w:r w:rsidRPr="00E951BA">
        <w:rPr>
          <w:b/>
          <w:bCs/>
          <w:lang w:val="en-US"/>
        </w:rPr>
        <w:t xml:space="preserve">ITU-R </w:t>
      </w:r>
      <w:r>
        <w:rPr>
          <w:b/>
          <w:bCs/>
          <w:lang w:val="en-US"/>
        </w:rPr>
        <w:t>M.1642</w:t>
      </w:r>
      <w:r w:rsidR="00F808BF">
        <w:rPr>
          <w:b/>
          <w:bCs/>
          <w:lang w:val="en-US"/>
        </w:rPr>
        <w:t>-2</w:t>
      </w:r>
      <w:r w:rsidRPr="009B1455">
        <w:rPr>
          <w:lang w:val="en-US"/>
        </w:rPr>
        <w:t xml:space="preserve"> </w:t>
      </w:r>
      <w:r>
        <w:rPr>
          <w:lang w:val="en-US"/>
        </w:rPr>
        <w:t xml:space="preserve">   </w:t>
      </w:r>
      <w:r w:rsidR="00F808BF">
        <w:rPr>
          <w:lang w:val="en-US"/>
        </w:rPr>
        <w:t>Methodology for assessing the maximum aggregate equivalent power flux density at an aeronautical radionavigation service station from all radionavigation satellite service systems operating in the 1 164-1 215 MHz band (2003-2005-2007)</w:t>
      </w:r>
    </w:p>
    <w:p w14:paraId="218950D4" w14:textId="79DD92CF" w:rsidR="00F808BF" w:rsidRDefault="00F808BF" w:rsidP="00F808BF">
      <w:pPr>
        <w:ind w:left="720"/>
        <w:rPr>
          <w:lang w:val="en-US"/>
        </w:rPr>
      </w:pPr>
      <w:r w:rsidRPr="00F808BF">
        <w:rPr>
          <w:lang w:val="en-US"/>
        </w:rPr>
        <w:t>This Recommendation gives a methodology and the reference antenna characteristics for assessing the</w:t>
      </w:r>
      <w:r>
        <w:rPr>
          <w:lang w:val="en-US"/>
        </w:rPr>
        <w:t xml:space="preserve"> </w:t>
      </w:r>
      <w:r w:rsidRPr="00F808BF">
        <w:rPr>
          <w:lang w:val="en-US"/>
        </w:rPr>
        <w:t>maximum aggregate equivalent power flux-density (</w:t>
      </w:r>
      <w:proofErr w:type="spellStart"/>
      <w:r w:rsidRPr="00F808BF">
        <w:rPr>
          <w:lang w:val="en-US"/>
        </w:rPr>
        <w:t>epfd</w:t>
      </w:r>
      <w:proofErr w:type="spellEnd"/>
      <w:r w:rsidRPr="00F808BF">
        <w:rPr>
          <w:lang w:val="en-US"/>
        </w:rPr>
        <w:t>) level produced at the input of a station of the</w:t>
      </w:r>
      <w:r>
        <w:rPr>
          <w:lang w:val="en-US"/>
        </w:rPr>
        <w:t xml:space="preserve"> </w:t>
      </w:r>
      <w:r w:rsidRPr="00F808BF">
        <w:rPr>
          <w:lang w:val="en-US"/>
        </w:rPr>
        <w:t>aeronautical radionavigation service (ARNS) by all radionavigation-satellite service (RNSS) systems</w:t>
      </w:r>
      <w:r>
        <w:rPr>
          <w:lang w:val="en-US"/>
        </w:rPr>
        <w:t xml:space="preserve"> </w:t>
      </w:r>
      <w:r w:rsidRPr="00F808BF">
        <w:rPr>
          <w:lang w:val="en-US"/>
        </w:rPr>
        <w:t>operating in any portion of the 1 164-1 215 MHz band</w:t>
      </w:r>
      <w:r w:rsidR="0080256A">
        <w:rPr>
          <w:lang w:val="en-US"/>
        </w:rPr>
        <w:t xml:space="preserve">.  Annex 2 provides ARNS reference station characteristics to be used in </w:t>
      </w:r>
      <w:proofErr w:type="spellStart"/>
      <w:r w:rsidR="0080256A">
        <w:rPr>
          <w:lang w:val="en-US"/>
        </w:rPr>
        <w:t>epfd</w:t>
      </w:r>
      <w:proofErr w:type="spellEnd"/>
      <w:r w:rsidR="0080256A">
        <w:rPr>
          <w:lang w:val="en-US"/>
        </w:rPr>
        <w:t xml:space="preserve"> calculation.</w:t>
      </w:r>
    </w:p>
    <w:p w14:paraId="30B02EA8" w14:textId="77777777" w:rsidR="000A20C9" w:rsidRDefault="000A20C9" w:rsidP="000A20C9">
      <w:pPr>
        <w:rPr>
          <w:lang w:val="en-US"/>
        </w:rPr>
      </w:pPr>
    </w:p>
    <w:p w14:paraId="1389451E" w14:textId="20006B82" w:rsidR="0080256A" w:rsidRDefault="0080256A" w:rsidP="0080256A">
      <w:pPr>
        <w:rPr>
          <w:lang w:val="en-US"/>
        </w:rPr>
      </w:pPr>
      <w:r>
        <w:rPr>
          <w:b/>
          <w:bCs/>
          <w:lang w:val="en-US"/>
        </w:rPr>
        <w:lastRenderedPageBreak/>
        <w:t>ICAO Annex 10 Volume 1 Chapter 3 Section 3.5</w:t>
      </w:r>
      <w:r w:rsidRPr="009B1455">
        <w:rPr>
          <w:lang w:val="en-US"/>
        </w:rPr>
        <w:t xml:space="preserve"> </w:t>
      </w:r>
      <w:r>
        <w:rPr>
          <w:lang w:val="en-US"/>
        </w:rPr>
        <w:t xml:space="preserve">   </w:t>
      </w:r>
      <w:r w:rsidR="005D0553">
        <w:rPr>
          <w:lang w:val="en-US"/>
        </w:rPr>
        <w:t>This section contains information of the DME system</w:t>
      </w:r>
      <w:r w:rsidR="009D730A">
        <w:rPr>
          <w:lang w:val="en-US"/>
        </w:rPr>
        <w:t>s</w:t>
      </w:r>
      <w:r w:rsidR="005D0553">
        <w:rPr>
          <w:lang w:val="en-US"/>
        </w:rPr>
        <w:t>.</w:t>
      </w:r>
    </w:p>
    <w:p w14:paraId="2D986299" w14:textId="77777777" w:rsidR="000A20C9" w:rsidRDefault="000A20C9" w:rsidP="00ED4432">
      <w:pPr>
        <w:rPr>
          <w:lang w:val="en-US"/>
        </w:rPr>
      </w:pPr>
    </w:p>
    <w:p w14:paraId="5A6E4C04" w14:textId="77777777" w:rsidR="00A12D7A" w:rsidRDefault="00A12D7A" w:rsidP="00A12D7A">
      <w:pPr>
        <w:rPr>
          <w:lang w:val="en-US"/>
        </w:rPr>
      </w:pPr>
      <w:r>
        <w:rPr>
          <w:b/>
          <w:bCs/>
          <w:lang w:val="en-US"/>
        </w:rPr>
        <w:t xml:space="preserve">Recommendation </w:t>
      </w:r>
      <w:r w:rsidRPr="00E951BA">
        <w:rPr>
          <w:b/>
          <w:bCs/>
          <w:lang w:val="en-US"/>
        </w:rPr>
        <w:t xml:space="preserve">ITU-R </w:t>
      </w:r>
      <w:r>
        <w:rPr>
          <w:b/>
          <w:bCs/>
          <w:lang w:val="en-US"/>
        </w:rPr>
        <w:t>M.1464-2</w:t>
      </w:r>
      <w:r w:rsidRPr="009B1455">
        <w:rPr>
          <w:lang w:val="en-US"/>
        </w:rPr>
        <w:t xml:space="preserve"> </w:t>
      </w:r>
      <w:r>
        <w:rPr>
          <w:lang w:val="en-US"/>
        </w:rPr>
        <w:t xml:space="preserve">   Characteristics of non-meteorological radiolocation radars, and characteristics and protection criteria for sharing studies for aeronautical radionavigation and radars in the radiodetermination service operating in the frequency band 2 700-2 900 MHz (02/2015)</w:t>
      </w:r>
    </w:p>
    <w:p w14:paraId="480FD2AA" w14:textId="3BD152F7" w:rsidR="00A12D7A" w:rsidRPr="00A12D7A" w:rsidRDefault="00A12D7A" w:rsidP="00A12D7A">
      <w:pPr>
        <w:ind w:left="720"/>
        <w:rPr>
          <w:lang w:eastAsia="zh-CN"/>
        </w:rPr>
      </w:pPr>
      <w:r>
        <w:rPr>
          <w:lang w:val="en-US"/>
        </w:rPr>
        <w:t>Representative technical characteristics of ARNS radars in 2 700-2 900 MHz are in Annex 1 Table 1. Operational characteristics of ARNS radars are in Annex 1 section 4.1.  The I/N protection criteria of ARNS radars can be found in Annex 2 sections 1 and 2.</w:t>
      </w:r>
    </w:p>
    <w:p w14:paraId="349660C9" w14:textId="77777777" w:rsidR="00A12D7A" w:rsidRDefault="00A12D7A" w:rsidP="00ED4432">
      <w:pPr>
        <w:rPr>
          <w:lang w:val="en-US"/>
        </w:rPr>
      </w:pPr>
    </w:p>
    <w:p w14:paraId="69891023" w14:textId="02B67AF9" w:rsidR="00ED4432" w:rsidRDefault="00ED4432" w:rsidP="00ED4432">
      <w:pPr>
        <w:rPr>
          <w:lang w:val="en-US"/>
        </w:rPr>
      </w:pPr>
      <w:r w:rsidRPr="009B1455">
        <w:rPr>
          <w:lang w:val="en-US"/>
        </w:rPr>
        <w:t>WP 5</w:t>
      </w:r>
      <w:r w:rsidR="00726017">
        <w:rPr>
          <w:lang w:val="en-US"/>
        </w:rPr>
        <w:t>B</w:t>
      </w:r>
      <w:r w:rsidRPr="009B1455">
        <w:rPr>
          <w:lang w:val="en-US"/>
        </w:rPr>
        <w:t xml:space="preserve"> requests to be kept informed on the progress of the studies under WRC-2</w:t>
      </w:r>
      <w:r>
        <w:rPr>
          <w:lang w:val="en-US"/>
        </w:rPr>
        <w:t>7</w:t>
      </w:r>
      <w:r w:rsidRPr="009B1455">
        <w:rPr>
          <w:lang w:val="en-US"/>
        </w:rPr>
        <w:t xml:space="preserve"> agenda item 1.</w:t>
      </w:r>
      <w:r>
        <w:rPr>
          <w:lang w:val="en-US"/>
        </w:rPr>
        <w:t>13</w:t>
      </w:r>
      <w:r w:rsidRPr="009B1455">
        <w:rPr>
          <w:lang w:val="en-US"/>
        </w:rPr>
        <w:t xml:space="preserve"> and will provide to WP </w:t>
      </w:r>
      <w:r>
        <w:rPr>
          <w:lang w:val="en-US"/>
        </w:rPr>
        <w:t>4C</w:t>
      </w:r>
      <w:r w:rsidRPr="009B1455">
        <w:rPr>
          <w:lang w:val="en-US"/>
        </w:rPr>
        <w:t xml:space="preserve"> any relevant updated information, before </w:t>
      </w:r>
      <w:r w:rsidRPr="00CA204F">
        <w:rPr>
          <w:lang w:val="en-US"/>
        </w:rPr>
        <w:t>31 December 2024 deadline, for studies under this WRC-27 agenda item.</w:t>
      </w: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5B3769">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A1BE" w14:textId="77777777" w:rsidR="005B3769" w:rsidRDefault="005B3769">
      <w:pPr>
        <w:spacing w:before="0"/>
      </w:pPr>
      <w:r>
        <w:separator/>
      </w:r>
    </w:p>
  </w:endnote>
  <w:endnote w:type="continuationSeparator" w:id="0">
    <w:p w14:paraId="1F37B11D" w14:textId="77777777" w:rsidR="005B3769" w:rsidRDefault="005B37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7A08" w14:textId="77777777" w:rsidR="005B3769" w:rsidRDefault="005B3769">
      <w:pPr>
        <w:spacing w:before="0"/>
      </w:pPr>
      <w:r>
        <w:separator/>
      </w:r>
    </w:p>
  </w:footnote>
  <w:footnote w:type="continuationSeparator" w:id="0">
    <w:p w14:paraId="380A77CC" w14:textId="77777777" w:rsidR="005B3769" w:rsidRDefault="005B376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9241616">
    <w:abstractNumId w:val="1"/>
  </w:num>
  <w:num w:numId="2" w16cid:durableId="2069138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3548F"/>
    <w:rsid w:val="00040B25"/>
    <w:rsid w:val="00042634"/>
    <w:rsid w:val="00043C57"/>
    <w:rsid w:val="000444CF"/>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20C9"/>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45C7D"/>
    <w:rsid w:val="00254261"/>
    <w:rsid w:val="00254D53"/>
    <w:rsid w:val="00255ED1"/>
    <w:rsid w:val="00256C38"/>
    <w:rsid w:val="00272245"/>
    <w:rsid w:val="00272CD3"/>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41ADA"/>
    <w:rsid w:val="00351D78"/>
    <w:rsid w:val="003529C0"/>
    <w:rsid w:val="00355F2D"/>
    <w:rsid w:val="00364DAD"/>
    <w:rsid w:val="0037379E"/>
    <w:rsid w:val="0037399D"/>
    <w:rsid w:val="00374930"/>
    <w:rsid w:val="00381920"/>
    <w:rsid w:val="003831C4"/>
    <w:rsid w:val="0038728A"/>
    <w:rsid w:val="00391382"/>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769"/>
    <w:rsid w:val="005B3CBF"/>
    <w:rsid w:val="005B7536"/>
    <w:rsid w:val="005C1A5C"/>
    <w:rsid w:val="005C1C59"/>
    <w:rsid w:val="005C2ECF"/>
    <w:rsid w:val="005C42EB"/>
    <w:rsid w:val="005C5B74"/>
    <w:rsid w:val="005D0553"/>
    <w:rsid w:val="005D7961"/>
    <w:rsid w:val="005E12A2"/>
    <w:rsid w:val="005E2BF1"/>
    <w:rsid w:val="005E2E64"/>
    <w:rsid w:val="005E667F"/>
    <w:rsid w:val="005F008A"/>
    <w:rsid w:val="005F3CA9"/>
    <w:rsid w:val="006005BF"/>
    <w:rsid w:val="00600981"/>
    <w:rsid w:val="006015B5"/>
    <w:rsid w:val="006023E9"/>
    <w:rsid w:val="00604EDA"/>
    <w:rsid w:val="00605BC9"/>
    <w:rsid w:val="00607975"/>
    <w:rsid w:val="00613937"/>
    <w:rsid w:val="00613B4E"/>
    <w:rsid w:val="00614F89"/>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1EF2"/>
    <w:rsid w:val="00702E74"/>
    <w:rsid w:val="00707EA4"/>
    <w:rsid w:val="00711BF9"/>
    <w:rsid w:val="00717FFD"/>
    <w:rsid w:val="00726017"/>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2197"/>
    <w:rsid w:val="007B42CC"/>
    <w:rsid w:val="007B4610"/>
    <w:rsid w:val="007C7417"/>
    <w:rsid w:val="007D1405"/>
    <w:rsid w:val="007D577F"/>
    <w:rsid w:val="007D7E82"/>
    <w:rsid w:val="007E1BED"/>
    <w:rsid w:val="007E2DF8"/>
    <w:rsid w:val="007E61D9"/>
    <w:rsid w:val="007F0EDA"/>
    <w:rsid w:val="007F4513"/>
    <w:rsid w:val="007F4940"/>
    <w:rsid w:val="007F4A91"/>
    <w:rsid w:val="007F4EC2"/>
    <w:rsid w:val="00800856"/>
    <w:rsid w:val="00800CCB"/>
    <w:rsid w:val="00801BBD"/>
    <w:rsid w:val="0080256A"/>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1F29"/>
    <w:rsid w:val="00912199"/>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30A"/>
    <w:rsid w:val="009D7E2B"/>
    <w:rsid w:val="009E0597"/>
    <w:rsid w:val="009E0B06"/>
    <w:rsid w:val="009E2735"/>
    <w:rsid w:val="009F037B"/>
    <w:rsid w:val="009F13C7"/>
    <w:rsid w:val="009F2ED2"/>
    <w:rsid w:val="009F552C"/>
    <w:rsid w:val="009F6DFA"/>
    <w:rsid w:val="00A05221"/>
    <w:rsid w:val="00A12D7A"/>
    <w:rsid w:val="00A13B02"/>
    <w:rsid w:val="00A14C59"/>
    <w:rsid w:val="00A177BB"/>
    <w:rsid w:val="00A22C18"/>
    <w:rsid w:val="00A27041"/>
    <w:rsid w:val="00A31AB5"/>
    <w:rsid w:val="00A325AE"/>
    <w:rsid w:val="00A36AD1"/>
    <w:rsid w:val="00A4237B"/>
    <w:rsid w:val="00A46CF0"/>
    <w:rsid w:val="00A5190A"/>
    <w:rsid w:val="00A54B54"/>
    <w:rsid w:val="00A64CD1"/>
    <w:rsid w:val="00A66659"/>
    <w:rsid w:val="00A67C88"/>
    <w:rsid w:val="00A73ECD"/>
    <w:rsid w:val="00A74C6B"/>
    <w:rsid w:val="00A7673B"/>
    <w:rsid w:val="00A76D11"/>
    <w:rsid w:val="00A770B6"/>
    <w:rsid w:val="00A8545E"/>
    <w:rsid w:val="00A86200"/>
    <w:rsid w:val="00A931DA"/>
    <w:rsid w:val="00A93A91"/>
    <w:rsid w:val="00A94D3B"/>
    <w:rsid w:val="00AA004A"/>
    <w:rsid w:val="00AA666A"/>
    <w:rsid w:val="00AB7B48"/>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1797"/>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9194C"/>
    <w:rsid w:val="00D91C1E"/>
    <w:rsid w:val="00D97409"/>
    <w:rsid w:val="00DA13AA"/>
    <w:rsid w:val="00DA329B"/>
    <w:rsid w:val="00DA3586"/>
    <w:rsid w:val="00DA4F3F"/>
    <w:rsid w:val="00DA74C0"/>
    <w:rsid w:val="00DB12C4"/>
    <w:rsid w:val="00DB1D03"/>
    <w:rsid w:val="00DB32B1"/>
    <w:rsid w:val="00DB6037"/>
    <w:rsid w:val="00DB730B"/>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5C0C"/>
    <w:rsid w:val="00E071B7"/>
    <w:rsid w:val="00E26674"/>
    <w:rsid w:val="00E27C39"/>
    <w:rsid w:val="00E33E9F"/>
    <w:rsid w:val="00E34100"/>
    <w:rsid w:val="00E4145A"/>
    <w:rsid w:val="00E43C14"/>
    <w:rsid w:val="00E46322"/>
    <w:rsid w:val="00E474EA"/>
    <w:rsid w:val="00E50BB4"/>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129B"/>
    <w:rsid w:val="00ED23B8"/>
    <w:rsid w:val="00ED270C"/>
    <w:rsid w:val="00ED4432"/>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76C46"/>
    <w:rsid w:val="00F808BF"/>
    <w:rsid w:val="00F810D9"/>
    <w:rsid w:val="00F81503"/>
    <w:rsid w:val="00F85351"/>
    <w:rsid w:val="00F86BB9"/>
    <w:rsid w:val="00F86C5B"/>
    <w:rsid w:val="00F92978"/>
    <w:rsid w:val="00F9766E"/>
    <w:rsid w:val="00FA436E"/>
    <w:rsid w:val="00FA70FF"/>
    <w:rsid w:val="00FB3A49"/>
    <w:rsid w:val="00FB4859"/>
    <w:rsid w:val="00FB76F3"/>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E3DD6A-B118-44DE-A44B-06596F97363C}">
  <ds:schemaRefs>
    <ds:schemaRef ds:uri="http://schemas.openxmlformats.org/officeDocument/2006/bibliography"/>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31</cp:revision>
  <dcterms:created xsi:type="dcterms:W3CDTF">2022-05-03T17:06:00Z</dcterms:created>
  <dcterms:modified xsi:type="dcterms:W3CDTF">2024-03-11T16:01:00Z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