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5CDC0893" w:rsidR="00790A03" w:rsidRPr="00A02BF0" w:rsidRDefault="00790A03" w:rsidP="00654F3B">
            <w:pPr>
              <w:spacing w:after="120"/>
              <w:ind w:left="144" w:right="144"/>
            </w:pPr>
            <w:r w:rsidRPr="00A02BF0">
              <w:rPr>
                <w:b/>
              </w:rPr>
              <w:t>Document No:</w:t>
            </w:r>
            <w:r w:rsidRPr="00A02BF0">
              <w:t xml:space="preserve">  </w:t>
            </w:r>
            <w:r w:rsidR="00F9703D">
              <w:rPr>
                <w:rStyle w:val="Heading2Char"/>
              </w:rPr>
              <w:t xml:space="preserve"> </w:t>
            </w:r>
            <w:r w:rsidR="00F9703D">
              <w:rPr>
                <w:rStyle w:val="field-content"/>
              </w:rPr>
              <w:t>uswp1a-04_FD_Studies under Res.731</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6" w:history="1">
              <w:proofErr w:type="spellStart"/>
              <w:r w:rsidR="006036CB" w:rsidRPr="006036CB">
                <w:rPr>
                  <w:rStyle w:val="Hyperlink"/>
                </w:rPr>
                <w:t>Prov.Fin.Acts</w:t>
              </w:r>
              <w:proofErr w:type="spellEnd"/>
            </w:hyperlink>
            <w:r w:rsidR="006036CB">
              <w:t xml:space="preserve"> p. 412</w:t>
            </w:r>
          </w:p>
          <w:p w14:paraId="0E723633" w14:textId="77777777" w:rsidR="00E375EA" w:rsidRDefault="00E375EA" w:rsidP="006036CB">
            <w:pPr>
              <w:ind w:left="144" w:right="144"/>
            </w:pPr>
          </w:p>
          <w:p w14:paraId="69D7985C" w14:textId="650325D2" w:rsidR="00E375EA" w:rsidRDefault="00D42BCA" w:rsidP="006036CB">
            <w:pPr>
              <w:ind w:left="144" w:right="144"/>
            </w:pPr>
            <w:hyperlink r:id="rId7"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8" w:history="1">
              <w:r w:rsidR="002A63FD" w:rsidRPr="002A63FD">
                <w:rPr>
                  <w:rStyle w:val="Hyperlink"/>
                </w:rPr>
                <w:t>Document 1A/6-E</w:t>
              </w:r>
            </w:hyperlink>
          </w:p>
          <w:p w14:paraId="1D56BB9E" w14:textId="77777777" w:rsidR="00E375EA" w:rsidRDefault="00E375EA" w:rsidP="006036CB">
            <w:pPr>
              <w:ind w:left="144" w:right="144"/>
            </w:pPr>
          </w:p>
          <w:p w14:paraId="758D8F82" w14:textId="77777777" w:rsidR="00E375EA" w:rsidRDefault="00E375EA" w:rsidP="006036CB">
            <w:pPr>
              <w:ind w:left="144" w:right="144"/>
            </w:pPr>
          </w:p>
          <w:p w14:paraId="570484EA" w14:textId="77777777" w:rsidR="006036CB" w:rsidRPr="00A02BF0" w:rsidRDefault="006036CB" w:rsidP="006036CB">
            <w:pPr>
              <w:ind w:left="144" w:right="144"/>
            </w:pPr>
          </w:p>
          <w:p w14:paraId="441D8967" w14:textId="5B065445" w:rsidR="00B32241" w:rsidRPr="00A02BF0" w:rsidRDefault="00B32241" w:rsidP="009B3075">
            <w:pPr>
              <w:ind w:right="144"/>
            </w:pPr>
          </w:p>
        </w:tc>
        <w:tc>
          <w:tcPr>
            <w:tcW w:w="5409" w:type="dxa"/>
            <w:tcBorders>
              <w:right w:val="double" w:sz="6" w:space="0" w:color="auto"/>
            </w:tcBorders>
          </w:tcPr>
          <w:p w14:paraId="3C2D0B8F" w14:textId="6EDD5042" w:rsidR="00790A03" w:rsidRPr="00A02BF0" w:rsidRDefault="00790A03" w:rsidP="006D17BF">
            <w:pPr>
              <w:tabs>
                <w:tab w:val="left" w:pos="162"/>
              </w:tabs>
              <w:ind w:left="612" w:right="144" w:hanging="468"/>
            </w:pPr>
            <w:r w:rsidRPr="00A02BF0">
              <w:rPr>
                <w:b/>
              </w:rPr>
              <w:t>Date</w:t>
            </w:r>
            <w:r w:rsidRPr="009F2763">
              <w:rPr>
                <w:b/>
              </w:rPr>
              <w:t>:</w:t>
            </w:r>
            <w:r w:rsidRPr="009F2763">
              <w:t xml:space="preserve">  </w:t>
            </w:r>
            <w:r w:rsidR="009B3075" w:rsidRPr="009F2763">
              <w:t>2</w:t>
            </w:r>
            <w:r w:rsidR="00F9703D">
              <w:t xml:space="preserve">7 Mar </w:t>
            </w:r>
            <w:r w:rsidR="00C52078" w:rsidRPr="009F2763">
              <w:t>20</w:t>
            </w:r>
            <w:r w:rsidR="00654F3B" w:rsidRPr="009F2763">
              <w:t>2</w:t>
            </w:r>
            <w:r w:rsidR="00AF0AA9" w:rsidRPr="009F2763">
              <w:t>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40924999" w:rsidR="00790A03" w:rsidRDefault="00790A03" w:rsidP="00790A03">
            <w:pPr>
              <w:pStyle w:val="Heading2"/>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 xml:space="preserve">report on approaches to spectrum sharing and burden sharing in 71-275 </w:t>
            </w:r>
            <w:proofErr w:type="gramStart"/>
            <w:r w:rsidR="002A63FD">
              <w:rPr>
                <w:b w:val="0"/>
                <w:lang w:eastAsia="zh-CN"/>
              </w:rPr>
              <w:t>GHz</w:t>
            </w:r>
            <w:proofErr w:type="gramEnd"/>
          </w:p>
          <w:p w14:paraId="17DCCB98" w14:textId="77777777" w:rsidR="00790A03" w:rsidRPr="00790A03" w:rsidRDefault="00790A03" w:rsidP="00790A03">
            <w:pPr>
              <w:rPr>
                <w:lang w:val="en-GB" w:eastAsia="zh-CN"/>
              </w:rPr>
            </w:pPr>
          </w:p>
        </w:tc>
      </w:tr>
      <w:tr w:rsidR="00790A03" w:rsidRPr="00A02BF0" w14:paraId="6330DE18" w14:textId="77777777" w:rsidTr="00B54F31">
        <w:trPr>
          <w:trHeight w:val="1960"/>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74919F3B" w14:textId="18744069" w:rsidR="009B3075" w:rsidRDefault="009B3075" w:rsidP="009B3075">
            <w:pPr>
              <w:ind w:right="144"/>
              <w:rPr>
                <w:bCs/>
                <w:iCs/>
              </w:rPr>
            </w:pPr>
            <w:r>
              <w:rPr>
                <w:bCs/>
                <w:iCs/>
              </w:rPr>
              <w:t xml:space="preserve">   Marcus Spectrum Solutions, LLC</w:t>
            </w:r>
          </w:p>
          <w:p w14:paraId="504CFB15" w14:textId="77777777" w:rsidR="00790A03" w:rsidRDefault="00790A03" w:rsidP="00B54F31">
            <w:pPr>
              <w:ind w:left="144" w:right="144"/>
              <w:rPr>
                <w:bCs/>
                <w:iCs/>
              </w:rPr>
            </w:pPr>
          </w:p>
          <w:p w14:paraId="668510D6" w14:textId="77777777" w:rsidR="00790A03" w:rsidRDefault="00790A03" w:rsidP="00B54F31">
            <w:pPr>
              <w:ind w:left="144" w:right="144"/>
              <w:rPr>
                <w:bCs/>
                <w:iCs/>
              </w:rPr>
            </w:pPr>
          </w:p>
          <w:p w14:paraId="524F4167" w14:textId="77777777" w:rsidR="00790A03" w:rsidRPr="00A02BF0" w:rsidRDefault="00790A03" w:rsidP="00B54F31">
            <w:pPr>
              <w:ind w:left="144" w:right="144"/>
              <w:rPr>
                <w:bCs/>
                <w:iCs/>
              </w:rPr>
            </w:pPr>
            <w:r w:rsidRPr="00A02BF0">
              <w:rPr>
                <w:bCs/>
                <w:iCs/>
              </w:rPr>
              <w:br/>
            </w:r>
          </w:p>
        </w:tc>
        <w:tc>
          <w:tcPr>
            <w:tcW w:w="5409" w:type="dxa"/>
            <w:tcBorders>
              <w:right w:val="double" w:sz="6" w:space="0" w:color="auto"/>
            </w:tcBorders>
          </w:tcPr>
          <w:p w14:paraId="458CE176" w14:textId="77777777" w:rsidR="00790A03" w:rsidRDefault="00790A03" w:rsidP="00B54F31">
            <w:pPr>
              <w:ind w:right="144"/>
              <w:rPr>
                <w:b/>
                <w:bCs/>
              </w:rPr>
            </w:pPr>
          </w:p>
          <w:p w14:paraId="48B24BED" w14:textId="29F3162C" w:rsidR="00790A03" w:rsidRDefault="00790A03" w:rsidP="00B54F31">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r w:rsidRPr="00A02BF0">
              <w:rPr>
                <w:bCs/>
              </w:rPr>
              <w:br/>
            </w:r>
          </w:p>
          <w:p w14:paraId="53233DE9" w14:textId="77777777" w:rsidR="00790A03" w:rsidRDefault="00790A03" w:rsidP="00790A03">
            <w:pPr>
              <w:ind w:right="144"/>
              <w:rPr>
                <w:bCs/>
              </w:rPr>
            </w:pPr>
          </w:p>
          <w:p w14:paraId="0A0B00F8" w14:textId="5EECFAAE" w:rsidR="00790A03" w:rsidRPr="00F022CE" w:rsidRDefault="00790A03" w:rsidP="00790A03">
            <w:pPr>
              <w:ind w:right="144"/>
              <w:rPr>
                <w:bCs/>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4CD76EC8"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w:t>
            </w:r>
            <w:r w:rsidR="002A63FD">
              <w:rPr>
                <w:bCs/>
              </w:rPr>
              <w:t>To develop a group of sharing approaches that can be evaluated for their potential to both provide new productive uses of spectrum as well as complying with the quantitative passive service protection goals of Res. 731 – originally proposed by USA at WRC-2000</w:t>
            </w:r>
            <w:r w:rsidR="00EC14DC">
              <w:rPr>
                <w:bCs/>
              </w:rPr>
              <w:t xml:space="preserve"> as an integral part of the passive band allocations above 100 GHz</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4C383DED"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2A63FD">
              <w:rPr>
                <w:bCs/>
              </w:rPr>
              <w:t xml:space="preserve">In recent years a variety of technical approaches have been raised in the literature for possible implementation of interference-free sharing of passive bands in 71-275 GHz.  </w:t>
            </w:r>
            <w:proofErr w:type="gramStart"/>
            <w:r w:rsidR="002A63FD">
              <w:rPr>
                <w:bCs/>
              </w:rPr>
              <w:t>In order to</w:t>
            </w:r>
            <w:proofErr w:type="gramEnd"/>
            <w:r w:rsidR="002A63FD">
              <w:rPr>
                <w:bCs/>
              </w:rPr>
              <w:t xml:space="preserve"> facilitate the </w:t>
            </w:r>
            <w:r w:rsidR="00BD7E0A">
              <w:rPr>
                <w:bCs/>
              </w:rPr>
              <w:t xml:space="preserve">future </w:t>
            </w:r>
            <w:r w:rsidR="002A63FD">
              <w:rPr>
                <w:bCs/>
              </w:rPr>
              <w:t>considerations of WP</w:t>
            </w:r>
            <w:r w:rsidR="00BD7E0A">
              <w:rPr>
                <w:bCs/>
              </w:rPr>
              <w:t xml:space="preserve"> 5A, WP 5C, WP 7C and WP 7D this document will review the</w:t>
            </w:r>
            <w:r w:rsidR="00EC14DC">
              <w:rPr>
                <w:bCs/>
              </w:rPr>
              <w:t>s</w:t>
            </w:r>
            <w:r w:rsidR="00BD7E0A">
              <w:rPr>
                <w:bCs/>
              </w:rPr>
              <w:t>e approaches and their characteristics.</w:t>
            </w:r>
          </w:p>
        </w:tc>
      </w:tr>
    </w:tbl>
    <w:p w14:paraId="3A5B0163" w14:textId="53487CC9" w:rsidR="00274649" w:rsidRDefault="00274649"/>
    <w:p w14:paraId="1EE8101A" w14:textId="77777777" w:rsidR="00274649" w:rsidRDefault="00274649">
      <w:pPr>
        <w:spacing w:after="160" w:line="259" w:lineRule="auto"/>
      </w:pPr>
      <w:r>
        <w:br w:type="page"/>
      </w:r>
    </w:p>
    <w:p w14:paraId="1D41F5DB" w14:textId="77777777" w:rsidR="00274649" w:rsidRDefault="00274649" w:rsidP="0027464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74649" w:rsidRPr="005337BD" w14:paraId="48578BF0" w14:textId="77777777" w:rsidTr="00E80CBC">
        <w:trPr>
          <w:cantSplit/>
        </w:trPr>
        <w:tc>
          <w:tcPr>
            <w:tcW w:w="6487" w:type="dxa"/>
            <w:vAlign w:val="center"/>
          </w:tcPr>
          <w:p w14:paraId="0681A223" w14:textId="77777777" w:rsidR="00274649" w:rsidRPr="005337BD" w:rsidRDefault="00274649" w:rsidP="00E80CBC">
            <w:pPr>
              <w:shd w:val="solid" w:color="FFFFFF" w:fill="FFFFFF"/>
              <w:rPr>
                <w:rFonts w:ascii="Verdana" w:hAnsi="Verdana" w:cs="Times New Roman Bold"/>
                <w:b/>
                <w:bCs/>
                <w:sz w:val="26"/>
                <w:szCs w:val="26"/>
              </w:rPr>
            </w:pPr>
            <w:r w:rsidRPr="005337BD">
              <w:rPr>
                <w:rFonts w:ascii="Verdana" w:hAnsi="Verdana" w:cs="Times New Roman Bold"/>
                <w:b/>
                <w:bCs/>
                <w:sz w:val="26"/>
                <w:szCs w:val="26"/>
              </w:rPr>
              <w:t>Radiocommunication Study Groups</w:t>
            </w:r>
          </w:p>
        </w:tc>
        <w:tc>
          <w:tcPr>
            <w:tcW w:w="3402" w:type="dxa"/>
          </w:tcPr>
          <w:p w14:paraId="3635C872" w14:textId="77777777" w:rsidR="00274649" w:rsidRPr="005337BD" w:rsidRDefault="00274649" w:rsidP="00E80CBC">
            <w:pPr>
              <w:shd w:val="solid" w:color="FFFFFF" w:fill="FFFFFF"/>
              <w:spacing w:line="240" w:lineRule="atLeast"/>
            </w:pPr>
            <w:r w:rsidRPr="005337BD">
              <w:rPr>
                <w:noProof/>
              </w:rPr>
              <w:drawing>
                <wp:inline distT="0" distB="0" distL="0" distR="0" wp14:anchorId="766E0909" wp14:editId="0BD3C65D">
                  <wp:extent cx="765175" cy="76517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74649" w:rsidRPr="005337BD" w14:paraId="729DA940" w14:textId="77777777" w:rsidTr="00E80CBC">
        <w:trPr>
          <w:cantSplit/>
        </w:trPr>
        <w:tc>
          <w:tcPr>
            <w:tcW w:w="6487" w:type="dxa"/>
            <w:tcBorders>
              <w:bottom w:val="single" w:sz="12" w:space="0" w:color="auto"/>
            </w:tcBorders>
          </w:tcPr>
          <w:p w14:paraId="61A05DD0" w14:textId="77777777" w:rsidR="00274649" w:rsidRPr="005337BD" w:rsidRDefault="00274649" w:rsidP="00E80CBC">
            <w:pPr>
              <w:shd w:val="solid" w:color="FFFFFF" w:fill="FFFFFF"/>
              <w:spacing w:after="48"/>
              <w:rPr>
                <w:rFonts w:ascii="Verdana" w:hAnsi="Verdana" w:cs="Times New Roman Bold"/>
                <w:b/>
              </w:rPr>
            </w:pPr>
          </w:p>
        </w:tc>
        <w:tc>
          <w:tcPr>
            <w:tcW w:w="3402" w:type="dxa"/>
            <w:tcBorders>
              <w:bottom w:val="single" w:sz="12" w:space="0" w:color="auto"/>
            </w:tcBorders>
          </w:tcPr>
          <w:p w14:paraId="603BD66B" w14:textId="77777777" w:rsidR="00274649" w:rsidRPr="005337BD" w:rsidRDefault="00274649" w:rsidP="00E80CBC">
            <w:pPr>
              <w:shd w:val="solid" w:color="FFFFFF" w:fill="FFFFFF"/>
              <w:spacing w:after="48" w:line="240" w:lineRule="atLeast"/>
            </w:pPr>
          </w:p>
        </w:tc>
      </w:tr>
      <w:tr w:rsidR="00274649" w:rsidRPr="005337BD" w14:paraId="2ECD4646" w14:textId="77777777" w:rsidTr="00E80CBC">
        <w:trPr>
          <w:cantSplit/>
        </w:trPr>
        <w:tc>
          <w:tcPr>
            <w:tcW w:w="6487" w:type="dxa"/>
            <w:tcBorders>
              <w:top w:val="single" w:sz="12" w:space="0" w:color="auto"/>
            </w:tcBorders>
          </w:tcPr>
          <w:p w14:paraId="3D56F8A0" w14:textId="77777777" w:rsidR="00274649" w:rsidRDefault="00274649" w:rsidP="00E80CBC">
            <w:pPr>
              <w:shd w:val="solid" w:color="FFFFFF" w:fill="FFFFFF"/>
              <w:spacing w:after="48"/>
              <w:rPr>
                <w:rFonts w:ascii="Verdana" w:hAnsi="Verdana" w:cs="Times New Roman Bold"/>
                <w:bCs/>
                <w:sz w:val="20"/>
                <w:szCs w:val="20"/>
              </w:rPr>
            </w:pPr>
            <w:r w:rsidRPr="005337BD">
              <w:rPr>
                <w:rFonts w:ascii="Verdana" w:hAnsi="Verdana" w:cs="Times New Roman Bold"/>
                <w:bCs/>
                <w:sz w:val="20"/>
                <w:szCs w:val="20"/>
              </w:rPr>
              <w:t xml:space="preserve">Reference </w:t>
            </w:r>
          </w:p>
          <w:p w14:paraId="12CDCACC" w14:textId="443B6CC7" w:rsidR="00274649" w:rsidRPr="00274649" w:rsidRDefault="00274649" w:rsidP="00E80CBC">
            <w:pPr>
              <w:shd w:val="solid" w:color="FFFFFF" w:fill="FFFFFF"/>
              <w:spacing w:after="48"/>
              <w:rPr>
                <w:rFonts w:asciiTheme="majorBidi" w:hAnsiTheme="majorBidi" w:cstheme="majorBidi"/>
                <w:b/>
                <w:bCs/>
              </w:rPr>
            </w:pPr>
            <w:r>
              <w:rPr>
                <w:rFonts w:ascii="Verdana" w:hAnsi="Verdana" w:cs="Times New Roman Bold"/>
                <w:bCs/>
                <w:sz w:val="20"/>
                <w:szCs w:val="20"/>
              </w:rPr>
              <w:t xml:space="preserve">   </w:t>
            </w:r>
            <w:r w:rsidRPr="00274649">
              <w:rPr>
                <w:rFonts w:asciiTheme="majorBidi" w:hAnsiTheme="majorBidi" w:cstheme="majorBidi"/>
                <w:bCs/>
              </w:rPr>
              <w:t xml:space="preserve">Resolution </w:t>
            </w:r>
            <w:r w:rsidRPr="00274649">
              <w:rPr>
                <w:rFonts w:asciiTheme="majorBidi" w:hAnsiTheme="majorBidi" w:cstheme="majorBidi"/>
                <w:b/>
                <w:bCs/>
              </w:rPr>
              <w:t>731 (Rev.WRC-23)</w:t>
            </w:r>
          </w:p>
          <w:p w14:paraId="4EF14A1A" w14:textId="41C51222" w:rsidR="00274649" w:rsidRDefault="00274649" w:rsidP="00274649">
            <w:pPr>
              <w:ind w:left="144" w:right="144"/>
            </w:pPr>
            <w:r w:rsidRPr="00274649">
              <w:t xml:space="preserve">Chairs of Study Groups 1, 5 and </w:t>
            </w:r>
            <w:proofErr w:type="gramStart"/>
            <w:r w:rsidRPr="00274649">
              <w:t>7,</w:t>
            </w:r>
            <w:r>
              <w:t>STUDIES</w:t>
            </w:r>
            <w:proofErr w:type="gramEnd"/>
            <w:r>
              <w:t xml:space="preserve"> UNDER RESOLUTION 731 (REV.WRC-23)</w:t>
            </w:r>
          </w:p>
          <w:p w14:paraId="19B4A6AF" w14:textId="77777777" w:rsidR="00274649" w:rsidRDefault="00274649" w:rsidP="00274649">
            <w:pPr>
              <w:ind w:left="144" w:right="144"/>
            </w:pPr>
            <w:r>
              <w:t xml:space="preserve">Consideration of sharing and adjacent-band compatibility </w:t>
            </w:r>
          </w:p>
          <w:p w14:paraId="426B35E1" w14:textId="77777777" w:rsidR="00274649" w:rsidRDefault="00274649" w:rsidP="00274649">
            <w:pPr>
              <w:ind w:left="144" w:right="144"/>
            </w:pPr>
            <w:r>
              <w:t xml:space="preserve">between passive and active services above 71 GHz.  </w:t>
            </w:r>
            <w:hyperlink r:id="rId10" w:history="1">
              <w:r w:rsidRPr="002A63FD">
                <w:rPr>
                  <w:rStyle w:val="Hyperlink"/>
                </w:rPr>
                <w:t>Document 1A/6-E</w:t>
              </w:r>
            </w:hyperlink>
          </w:p>
          <w:p w14:paraId="2572E90C" w14:textId="5444113D" w:rsidR="00274649" w:rsidRPr="005337BD" w:rsidRDefault="00274649" w:rsidP="00E80CBC">
            <w:pPr>
              <w:shd w:val="solid" w:color="FFFFFF" w:fill="FFFFFF"/>
              <w:spacing w:after="48"/>
              <w:rPr>
                <w:rFonts w:ascii="Verdana" w:hAnsi="Verdana" w:cs="Times New Roman Bold"/>
                <w:bCs/>
                <w:sz w:val="20"/>
                <w:szCs w:val="20"/>
              </w:rPr>
            </w:pPr>
          </w:p>
        </w:tc>
        <w:tc>
          <w:tcPr>
            <w:tcW w:w="3402" w:type="dxa"/>
            <w:tcBorders>
              <w:top w:val="single" w:sz="12" w:space="0" w:color="auto"/>
            </w:tcBorders>
          </w:tcPr>
          <w:p w14:paraId="4463414F" w14:textId="77777777" w:rsidR="00274649" w:rsidRPr="005337BD" w:rsidRDefault="00274649" w:rsidP="00E80CBC">
            <w:pPr>
              <w:shd w:val="solid" w:color="FFFFFF" w:fill="FFFFFF"/>
              <w:spacing w:after="48" w:line="240" w:lineRule="atLeast"/>
            </w:pPr>
          </w:p>
        </w:tc>
      </w:tr>
      <w:tr w:rsidR="00274649" w:rsidRPr="005337BD" w14:paraId="45972BA1" w14:textId="77777777" w:rsidTr="00E80CBC">
        <w:trPr>
          <w:cantSplit/>
        </w:trPr>
        <w:tc>
          <w:tcPr>
            <w:tcW w:w="6487" w:type="dxa"/>
            <w:vMerge w:val="restart"/>
          </w:tcPr>
          <w:p w14:paraId="140DA55A" w14:textId="4EC2306A" w:rsidR="00274649" w:rsidRPr="005337BD" w:rsidRDefault="00274649" w:rsidP="00E80CBC">
            <w:pPr>
              <w:shd w:val="solid" w:color="FFFFFF" w:fill="FFFFFF"/>
              <w:spacing w:after="240"/>
              <w:ind w:left="1134" w:hanging="1134"/>
              <w:rPr>
                <w:rFonts w:ascii="Verdana" w:hAnsi="Verdana"/>
                <w:sz w:val="20"/>
              </w:rPr>
            </w:pPr>
            <w:r w:rsidRPr="005337BD">
              <w:rPr>
                <w:rFonts w:ascii="Verdana" w:hAnsi="Verdana"/>
                <w:sz w:val="20"/>
              </w:rPr>
              <w:t>Received:</w:t>
            </w:r>
            <w:r w:rsidRPr="005337BD">
              <w:rPr>
                <w:rFonts w:ascii="Verdana" w:hAnsi="Verdana"/>
                <w:sz w:val="20"/>
              </w:rPr>
              <w:tab/>
            </w:r>
          </w:p>
        </w:tc>
        <w:tc>
          <w:tcPr>
            <w:tcW w:w="3402" w:type="dxa"/>
          </w:tcPr>
          <w:p w14:paraId="6A8D30D4" w14:textId="77777777" w:rsidR="00274649" w:rsidRPr="005337BD" w:rsidRDefault="00274649" w:rsidP="00E80CBC">
            <w:pPr>
              <w:shd w:val="solid" w:color="FFFFFF" w:fill="FFFFFF"/>
              <w:spacing w:line="240" w:lineRule="atLeast"/>
              <w:rPr>
                <w:rFonts w:ascii="Verdana" w:hAnsi="Verdana"/>
                <w:sz w:val="20"/>
                <w:lang w:eastAsia="zh-CN"/>
              </w:rPr>
            </w:pPr>
            <w:r w:rsidRPr="005337BD">
              <w:rPr>
                <w:rFonts w:ascii="Verdana" w:hAnsi="Verdana"/>
                <w:b/>
                <w:sz w:val="20"/>
                <w:lang w:eastAsia="zh-CN"/>
              </w:rPr>
              <w:t>Document 1A/</w:t>
            </w:r>
          </w:p>
        </w:tc>
      </w:tr>
      <w:tr w:rsidR="00274649" w:rsidRPr="005337BD" w14:paraId="2AB4EBBE" w14:textId="77777777" w:rsidTr="00E80CBC">
        <w:trPr>
          <w:cantSplit/>
        </w:trPr>
        <w:tc>
          <w:tcPr>
            <w:tcW w:w="6487" w:type="dxa"/>
            <w:vMerge/>
          </w:tcPr>
          <w:p w14:paraId="53718792" w14:textId="77777777" w:rsidR="00274649" w:rsidRPr="005337BD" w:rsidRDefault="00274649" w:rsidP="00E80CBC">
            <w:pPr>
              <w:spacing w:before="60"/>
              <w:jc w:val="center"/>
              <w:rPr>
                <w:b/>
                <w:smallCaps/>
                <w:sz w:val="32"/>
                <w:lang w:eastAsia="zh-CN"/>
              </w:rPr>
            </w:pPr>
          </w:p>
        </w:tc>
        <w:tc>
          <w:tcPr>
            <w:tcW w:w="3402" w:type="dxa"/>
          </w:tcPr>
          <w:p w14:paraId="456ABBD6" w14:textId="52562B26" w:rsidR="00274649" w:rsidRPr="00532D7E" w:rsidRDefault="00274649" w:rsidP="00E80CBC">
            <w:pPr>
              <w:shd w:val="solid" w:color="FFFFFF" w:fill="FFFFFF"/>
              <w:spacing w:line="240" w:lineRule="atLeast"/>
              <w:rPr>
                <w:rFonts w:ascii="Verdana" w:hAnsi="Verdana"/>
                <w:b/>
                <w:sz w:val="20"/>
                <w:lang w:eastAsia="zh-CN"/>
              </w:rPr>
            </w:pPr>
          </w:p>
        </w:tc>
      </w:tr>
      <w:tr w:rsidR="00274649" w:rsidRPr="005337BD" w14:paraId="44ED5CD8" w14:textId="77777777" w:rsidTr="00E80CBC">
        <w:trPr>
          <w:cantSplit/>
        </w:trPr>
        <w:tc>
          <w:tcPr>
            <w:tcW w:w="6487" w:type="dxa"/>
            <w:vMerge/>
          </w:tcPr>
          <w:p w14:paraId="79C49A2F" w14:textId="77777777" w:rsidR="00274649" w:rsidRPr="005337BD" w:rsidRDefault="00274649" w:rsidP="00E80CBC">
            <w:pPr>
              <w:spacing w:before="60"/>
              <w:jc w:val="center"/>
              <w:rPr>
                <w:b/>
                <w:smallCaps/>
                <w:sz w:val="32"/>
                <w:lang w:eastAsia="zh-CN"/>
              </w:rPr>
            </w:pPr>
          </w:p>
        </w:tc>
        <w:tc>
          <w:tcPr>
            <w:tcW w:w="3402" w:type="dxa"/>
          </w:tcPr>
          <w:p w14:paraId="065BE5D4" w14:textId="77777777" w:rsidR="00274649" w:rsidRPr="005337BD" w:rsidRDefault="00274649" w:rsidP="00E80CBC">
            <w:pPr>
              <w:shd w:val="solid" w:color="FFFFFF" w:fill="FFFFFF"/>
              <w:spacing w:line="240" w:lineRule="atLeast"/>
              <w:rPr>
                <w:rFonts w:ascii="Verdana" w:eastAsia="SimSun" w:hAnsi="Verdana"/>
                <w:b/>
                <w:sz w:val="20"/>
                <w:lang w:eastAsia="zh-CN"/>
              </w:rPr>
            </w:pPr>
            <w:r w:rsidRPr="005337BD">
              <w:rPr>
                <w:rFonts w:ascii="Verdana" w:eastAsia="SimSun" w:hAnsi="Verdana"/>
                <w:b/>
                <w:sz w:val="20"/>
                <w:lang w:eastAsia="zh-CN"/>
              </w:rPr>
              <w:t>English only</w:t>
            </w:r>
          </w:p>
          <w:p w14:paraId="0E8CA6F2" w14:textId="77777777" w:rsidR="00274649" w:rsidRPr="005337BD" w:rsidRDefault="00274649" w:rsidP="00E80CBC">
            <w:pPr>
              <w:shd w:val="solid" w:color="FFFFFF" w:fill="FFFFFF"/>
              <w:spacing w:line="240" w:lineRule="atLeast"/>
              <w:rPr>
                <w:rFonts w:ascii="Verdana" w:eastAsia="SimSun" w:hAnsi="Verdana"/>
                <w:sz w:val="20"/>
                <w:lang w:eastAsia="zh-CN"/>
              </w:rPr>
            </w:pPr>
          </w:p>
        </w:tc>
      </w:tr>
      <w:tr w:rsidR="00274649" w:rsidRPr="005337BD" w14:paraId="2E0E542B" w14:textId="77777777" w:rsidTr="00E80CBC">
        <w:trPr>
          <w:cantSplit/>
        </w:trPr>
        <w:tc>
          <w:tcPr>
            <w:tcW w:w="9889" w:type="dxa"/>
            <w:gridSpan w:val="2"/>
          </w:tcPr>
          <w:p w14:paraId="610F9685" w14:textId="77777777" w:rsidR="00274649" w:rsidRPr="005337BD" w:rsidRDefault="00274649" w:rsidP="00E80CBC">
            <w:pPr>
              <w:tabs>
                <w:tab w:val="left" w:pos="1134"/>
                <w:tab w:val="left" w:pos="1871"/>
                <w:tab w:val="left" w:pos="2268"/>
              </w:tabs>
              <w:overflowPunct w:val="0"/>
              <w:autoSpaceDE w:val="0"/>
              <w:autoSpaceDN w:val="0"/>
              <w:adjustRightInd w:val="0"/>
              <w:spacing w:before="840"/>
              <w:jc w:val="center"/>
              <w:textAlignment w:val="baseline"/>
              <w:rPr>
                <w:b/>
                <w:sz w:val="28"/>
                <w:szCs w:val="20"/>
                <w:lang w:val="en-GB" w:eastAsia="zh-CN"/>
              </w:rPr>
            </w:pPr>
            <w:r w:rsidRPr="005337BD">
              <w:rPr>
                <w:b/>
                <w:sz w:val="28"/>
                <w:szCs w:val="20"/>
                <w:lang w:val="en-GB" w:eastAsia="zh-CN"/>
              </w:rPr>
              <w:t>United States of America</w:t>
            </w:r>
          </w:p>
        </w:tc>
      </w:tr>
      <w:tr w:rsidR="00274649" w:rsidRPr="005337BD" w14:paraId="361C83D6" w14:textId="77777777" w:rsidTr="00E80CBC">
        <w:trPr>
          <w:cantSplit/>
        </w:trPr>
        <w:tc>
          <w:tcPr>
            <w:tcW w:w="9889" w:type="dxa"/>
            <w:gridSpan w:val="2"/>
          </w:tcPr>
          <w:p w14:paraId="76BFC604" w14:textId="678DBEFD" w:rsidR="00274649" w:rsidRPr="005337BD" w:rsidRDefault="00274649" w:rsidP="00E80CBC">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r w:rsidRPr="005337BD">
              <w:rPr>
                <w:caps/>
                <w:sz w:val="28"/>
                <w:szCs w:val="20"/>
                <w:lang w:eastAsia="zh-CN"/>
              </w:rPr>
              <w:t xml:space="preserve">PROPOSAL TO INITIATE WORK UNDER RESOLUTION </w:t>
            </w:r>
            <w:r w:rsidRPr="005337BD">
              <w:rPr>
                <w:b/>
                <w:caps/>
                <w:sz w:val="28"/>
                <w:szCs w:val="20"/>
                <w:lang w:eastAsia="zh-CN"/>
              </w:rPr>
              <w:t>731 (REV. WRC-</w:t>
            </w:r>
            <w:r w:rsidR="0023362D">
              <w:rPr>
                <w:b/>
                <w:caps/>
                <w:sz w:val="28"/>
                <w:szCs w:val="20"/>
                <w:lang w:eastAsia="zh-CN"/>
              </w:rPr>
              <w:t>23</w:t>
            </w:r>
            <w:r w:rsidRPr="005337BD">
              <w:rPr>
                <w:b/>
                <w:caps/>
                <w:sz w:val="28"/>
                <w:szCs w:val="20"/>
                <w:lang w:eastAsia="zh-CN"/>
              </w:rPr>
              <w:t>)</w:t>
            </w:r>
          </w:p>
        </w:tc>
      </w:tr>
      <w:tr w:rsidR="00274649" w:rsidRPr="005337BD" w14:paraId="68B2FF5B" w14:textId="77777777" w:rsidTr="00E80CBC">
        <w:trPr>
          <w:cantSplit/>
        </w:trPr>
        <w:tc>
          <w:tcPr>
            <w:tcW w:w="9889" w:type="dxa"/>
            <w:gridSpan w:val="2"/>
          </w:tcPr>
          <w:p w14:paraId="7EFA704C" w14:textId="77777777" w:rsidR="00274649" w:rsidRPr="005337BD" w:rsidRDefault="00274649" w:rsidP="00E80CBC">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p>
        </w:tc>
      </w:tr>
    </w:tbl>
    <w:p w14:paraId="35FB278B" w14:textId="77777777" w:rsidR="00274649" w:rsidRPr="005337BD" w:rsidRDefault="00274649" w:rsidP="00274649">
      <w:pPr>
        <w:spacing w:before="120"/>
        <w:rPr>
          <w:b/>
          <w:bCs/>
          <w:lang w:eastAsia="ja-JP"/>
        </w:rPr>
      </w:pPr>
      <w:r w:rsidRPr="005337BD">
        <w:rPr>
          <w:b/>
          <w:bCs/>
          <w:lang w:eastAsia="ja-JP"/>
        </w:rPr>
        <w:t xml:space="preserve">Introduction </w:t>
      </w:r>
    </w:p>
    <w:p w14:paraId="7F28BF08" w14:textId="703B848E" w:rsidR="00274649" w:rsidRDefault="00274649" w:rsidP="00274649">
      <w:pPr>
        <w:spacing w:before="120"/>
        <w:rPr>
          <w:bCs/>
          <w:lang w:eastAsia="ja-JP"/>
        </w:rPr>
      </w:pPr>
      <w:r w:rsidRPr="005337BD">
        <w:rPr>
          <w:bCs/>
          <w:lang w:eastAsia="ja-JP"/>
        </w:rPr>
        <w:t xml:space="preserve">Resolution </w:t>
      </w:r>
      <w:r w:rsidRPr="005337BD">
        <w:rPr>
          <w:b/>
          <w:bCs/>
          <w:lang w:eastAsia="ja-JP"/>
        </w:rPr>
        <w:t>731 (Rev. WRC-</w:t>
      </w:r>
      <w:r>
        <w:rPr>
          <w:b/>
          <w:bCs/>
          <w:lang w:eastAsia="ja-JP"/>
        </w:rPr>
        <w:t>23</w:t>
      </w:r>
      <w:r w:rsidRPr="005337BD">
        <w:rPr>
          <w:b/>
          <w:bCs/>
          <w:lang w:eastAsia="ja-JP"/>
        </w:rPr>
        <w:t>)</w:t>
      </w:r>
      <w:r w:rsidRPr="005337BD">
        <w:rPr>
          <w:bCs/>
          <w:lang w:eastAsia="ja-JP"/>
        </w:rPr>
        <w:t>, which is assigned to Working Party 1A among others, addresses issues of sharing and adjacent-band compatibility between passive and active services above 71 GHz.</w:t>
      </w:r>
      <w:r w:rsidRPr="005337BD">
        <w:rPr>
          <w:bCs/>
          <w:vertAlign w:val="superscript"/>
          <w:lang w:eastAsia="ja-JP"/>
        </w:rPr>
        <w:footnoteReference w:id="1"/>
      </w:r>
      <w:r w:rsidRPr="005337BD">
        <w:rPr>
          <w:bCs/>
          <w:lang w:eastAsia="ja-JP"/>
        </w:rPr>
        <w:t xml:space="preserve">   </w:t>
      </w:r>
    </w:p>
    <w:p w14:paraId="142554F3" w14:textId="0AEBC3CA" w:rsidR="00755E68" w:rsidRDefault="00755E68" w:rsidP="00274649">
      <w:pPr>
        <w:spacing w:before="120"/>
        <w:rPr>
          <w:bCs/>
          <w:lang w:eastAsia="ja-JP"/>
        </w:rPr>
      </w:pPr>
      <w:r>
        <w:rPr>
          <w:bCs/>
          <w:lang w:eastAsia="ja-JP"/>
        </w:rPr>
        <w:t>The Resolution includes</w:t>
      </w:r>
      <w:r w:rsidR="00F9703D">
        <w:rPr>
          <w:bCs/>
          <w:lang w:eastAsia="ja-JP"/>
        </w:rPr>
        <w:t xml:space="preserve"> two references to “burden sharing</w:t>
      </w:r>
      <w:proofErr w:type="gramStart"/>
      <w:r w:rsidR="00F9703D">
        <w:rPr>
          <w:bCs/>
          <w:lang w:eastAsia="ja-JP"/>
        </w:rPr>
        <w:t>” :</w:t>
      </w:r>
      <w:proofErr w:type="gramEnd"/>
    </w:p>
    <w:p w14:paraId="2C3B98E3" w14:textId="209E7474" w:rsidR="00755E68" w:rsidRDefault="00F9703D" w:rsidP="00274649">
      <w:pPr>
        <w:spacing w:before="120"/>
        <w:rPr>
          <w:bCs/>
          <w:lang w:eastAsia="ja-JP"/>
        </w:rPr>
      </w:pPr>
      <w:r>
        <w:rPr>
          <w:bCs/>
          <w:i/>
          <w:iCs/>
          <w:lang w:eastAsia="ja-JP"/>
        </w:rPr>
        <w:t>R</w:t>
      </w:r>
      <w:r w:rsidRPr="00755E68">
        <w:rPr>
          <w:bCs/>
          <w:i/>
          <w:iCs/>
          <w:lang w:eastAsia="ja-JP"/>
        </w:rPr>
        <w:t>ecognizing</w:t>
      </w:r>
      <w:r>
        <w:rPr>
          <w:bCs/>
          <w:lang w:eastAsia="ja-JP"/>
        </w:rPr>
        <w:t xml:space="preserve"> states</w:t>
      </w:r>
    </w:p>
    <w:p w14:paraId="1533BAE9" w14:textId="77777777" w:rsidR="00F9703D" w:rsidRPr="00F9703D" w:rsidRDefault="00F9703D" w:rsidP="00274649">
      <w:pPr>
        <w:spacing w:before="120"/>
        <w:rPr>
          <w:bCs/>
          <w:lang w:eastAsia="ja-JP"/>
        </w:rPr>
      </w:pPr>
    </w:p>
    <w:p w14:paraId="0B58E4A8" w14:textId="1B99F7B2" w:rsidR="00755E68" w:rsidRPr="00755E68" w:rsidRDefault="00755E68" w:rsidP="00755E68">
      <w:pPr>
        <w:rPr>
          <w:bCs/>
          <w:lang w:eastAsia="ja-JP"/>
        </w:rPr>
      </w:pPr>
      <w:r>
        <w:rPr>
          <w:bCs/>
          <w:lang w:eastAsia="ja-JP"/>
        </w:rPr>
        <w:tab/>
      </w:r>
      <w:r w:rsidRPr="002A248F">
        <w:rPr>
          <w:bCs/>
          <w:i/>
          <w:iCs/>
          <w:lang w:eastAsia="ja-JP"/>
        </w:rPr>
        <w:t>b)</w:t>
      </w:r>
      <w:r w:rsidRPr="00755E68">
        <w:rPr>
          <w:bCs/>
          <w:lang w:eastAsia="ja-JP"/>
        </w:rPr>
        <w:t xml:space="preserve"> that, to the extent practicable, the burden of sharing among active and passive services</w:t>
      </w:r>
    </w:p>
    <w:p w14:paraId="2C267497" w14:textId="6C48B986" w:rsidR="00755E68" w:rsidRPr="005337BD" w:rsidRDefault="00755E68" w:rsidP="00755E68">
      <w:pPr>
        <w:ind w:firstLine="720"/>
        <w:rPr>
          <w:bCs/>
          <w:lang w:eastAsia="ja-JP"/>
        </w:rPr>
      </w:pPr>
      <w:r w:rsidRPr="00755E68">
        <w:rPr>
          <w:bCs/>
          <w:lang w:eastAsia="ja-JP"/>
        </w:rPr>
        <w:t>should be equitably distributed among the services to which allocations are made,</w:t>
      </w:r>
    </w:p>
    <w:p w14:paraId="7875635F" w14:textId="7C964399" w:rsidR="00274649" w:rsidRDefault="00274649" w:rsidP="00274649">
      <w:pPr>
        <w:spacing w:before="120"/>
        <w:rPr>
          <w:bCs/>
          <w:lang w:eastAsia="ja-JP"/>
        </w:rPr>
      </w:pPr>
      <w:r w:rsidRPr="00755E68">
        <w:rPr>
          <w:bCs/>
          <w:i/>
          <w:iCs/>
          <w:lang w:eastAsia="ja-JP"/>
        </w:rPr>
        <w:t>invites</w:t>
      </w:r>
      <w:r>
        <w:rPr>
          <w:bCs/>
          <w:lang w:eastAsia="ja-JP"/>
        </w:rPr>
        <w:t xml:space="preserve"> </w:t>
      </w:r>
      <w:proofErr w:type="gramStart"/>
      <w:r>
        <w:rPr>
          <w:bCs/>
          <w:lang w:eastAsia="ja-JP"/>
        </w:rPr>
        <w:t>includes</w:t>
      </w:r>
      <w:proofErr w:type="gramEnd"/>
      <w:r>
        <w:rPr>
          <w:bCs/>
          <w:lang w:eastAsia="ja-JP"/>
        </w:rPr>
        <w:t xml:space="preserve"> the following</w:t>
      </w:r>
    </w:p>
    <w:p w14:paraId="0ED105A5" w14:textId="77777777" w:rsidR="00755E68" w:rsidRDefault="00755E68" w:rsidP="00274649">
      <w:pPr>
        <w:spacing w:before="120"/>
        <w:rPr>
          <w:bCs/>
          <w:lang w:eastAsia="ja-JP"/>
        </w:rPr>
      </w:pPr>
    </w:p>
    <w:p w14:paraId="090608FD" w14:textId="64B6CBB6" w:rsidR="00274649" w:rsidRPr="00274649" w:rsidRDefault="00274649" w:rsidP="00274649">
      <w:pPr>
        <w:ind w:firstLine="720"/>
        <w:rPr>
          <w:bCs/>
          <w:lang w:eastAsia="ja-JP"/>
        </w:rPr>
      </w:pPr>
      <w:proofErr w:type="gramStart"/>
      <w:r>
        <w:rPr>
          <w:bCs/>
          <w:lang w:eastAsia="ja-JP"/>
        </w:rPr>
        <w:t>1</w:t>
      </w:r>
      <w:r w:rsidRPr="005337BD">
        <w:rPr>
          <w:bCs/>
          <w:lang w:eastAsia="ja-JP"/>
        </w:rPr>
        <w:t xml:space="preserve"> </w:t>
      </w:r>
      <w:r w:rsidRPr="00274649">
        <w:rPr>
          <w:bCs/>
          <w:lang w:eastAsia="ja-JP"/>
        </w:rPr>
        <w:t xml:space="preserve"> continue</w:t>
      </w:r>
      <w:proofErr w:type="gramEnd"/>
      <w:r w:rsidRPr="00274649">
        <w:rPr>
          <w:bCs/>
          <w:lang w:eastAsia="ja-JP"/>
        </w:rPr>
        <w:t xml:space="preserve"> its studies to determine if and under what conditions sharing is possible</w:t>
      </w:r>
    </w:p>
    <w:p w14:paraId="77FA7FD9" w14:textId="18C74ECC" w:rsidR="00274649" w:rsidRDefault="00274649" w:rsidP="00274649">
      <w:pPr>
        <w:ind w:left="720"/>
        <w:rPr>
          <w:bCs/>
          <w:lang w:eastAsia="ja-JP"/>
        </w:rPr>
      </w:pPr>
      <w:r w:rsidRPr="00274649">
        <w:rPr>
          <w:bCs/>
          <w:lang w:eastAsia="ja-JP"/>
        </w:rPr>
        <w:t>between active and passive services in the frequency bands above 71 GHz, such as, but not limited</w:t>
      </w:r>
      <w:r>
        <w:rPr>
          <w:bCs/>
          <w:lang w:eastAsia="ja-JP"/>
        </w:rPr>
        <w:t xml:space="preserve"> </w:t>
      </w:r>
      <w:r w:rsidRPr="00274649">
        <w:rPr>
          <w:bCs/>
          <w:lang w:eastAsia="ja-JP"/>
        </w:rPr>
        <w:t xml:space="preserve">to, 116-122.25 GHz, 174.8-182 GHz, 185-190 GHz and 235-238 </w:t>
      </w:r>
      <w:proofErr w:type="gramStart"/>
      <w:r w:rsidRPr="00274649">
        <w:rPr>
          <w:bCs/>
          <w:lang w:eastAsia="ja-JP"/>
        </w:rPr>
        <w:t>GHz;</w:t>
      </w:r>
      <w:proofErr w:type="gramEnd"/>
    </w:p>
    <w:p w14:paraId="355BCAED" w14:textId="77777777" w:rsidR="00274649" w:rsidRDefault="00274649" w:rsidP="00274649">
      <w:pPr>
        <w:ind w:left="720"/>
        <w:rPr>
          <w:bCs/>
          <w:lang w:eastAsia="ja-JP"/>
        </w:rPr>
      </w:pPr>
    </w:p>
    <w:p w14:paraId="1AD62711" w14:textId="77777777" w:rsidR="001700C5" w:rsidRDefault="001700C5" w:rsidP="00274649">
      <w:pPr>
        <w:ind w:left="720"/>
        <w:rPr>
          <w:bCs/>
          <w:lang w:eastAsia="ja-JP"/>
        </w:rPr>
      </w:pPr>
    </w:p>
    <w:p w14:paraId="64092CA6" w14:textId="2B0FDE76" w:rsidR="00274649" w:rsidRPr="00274649" w:rsidRDefault="00274649" w:rsidP="00274649">
      <w:pPr>
        <w:ind w:left="720"/>
        <w:rPr>
          <w:bCs/>
          <w:lang w:eastAsia="ja-JP"/>
        </w:rPr>
      </w:pPr>
      <w:proofErr w:type="gramStart"/>
      <w:r>
        <w:rPr>
          <w:bCs/>
          <w:lang w:eastAsia="ja-JP"/>
        </w:rPr>
        <w:lastRenderedPageBreak/>
        <w:t>5  t</w:t>
      </w:r>
      <w:r w:rsidRPr="00274649">
        <w:rPr>
          <w:bCs/>
          <w:lang w:eastAsia="ja-JP"/>
        </w:rPr>
        <w:t>o</w:t>
      </w:r>
      <w:proofErr w:type="gramEnd"/>
      <w:r w:rsidRPr="00274649">
        <w:rPr>
          <w:bCs/>
          <w:lang w:eastAsia="ja-JP"/>
        </w:rPr>
        <w:t xml:space="preserve"> take into account the principles of burden-sharing to the extent practicable in their</w:t>
      </w:r>
    </w:p>
    <w:p w14:paraId="084E512A" w14:textId="4F02CD5F" w:rsidR="00274649" w:rsidRPr="00274649" w:rsidRDefault="00274649" w:rsidP="00274649">
      <w:pPr>
        <w:ind w:left="720"/>
        <w:rPr>
          <w:bCs/>
          <w:lang w:eastAsia="ja-JP"/>
        </w:rPr>
      </w:pPr>
      <w:r w:rsidRPr="00274649">
        <w:rPr>
          <w:bCs/>
          <w:lang w:eastAsia="ja-JP"/>
        </w:rPr>
        <w:t>studies</w:t>
      </w:r>
    </w:p>
    <w:p w14:paraId="480001C3" w14:textId="51BC9998" w:rsidR="002A248F" w:rsidRPr="002A248F" w:rsidRDefault="002A248F" w:rsidP="00274649">
      <w:pPr>
        <w:spacing w:before="120"/>
        <w:rPr>
          <w:lang w:eastAsia="ja-JP"/>
        </w:rPr>
      </w:pPr>
      <w:r w:rsidRPr="002A248F">
        <w:rPr>
          <w:lang w:eastAsia="ja-JP"/>
        </w:rPr>
        <w:t>Res.</w:t>
      </w:r>
      <w:r>
        <w:rPr>
          <w:lang w:eastAsia="ja-JP"/>
        </w:rPr>
        <w:t xml:space="preserve"> 731 was adopted at WRC-2000 in the same action that adopted most of the present allocations in 100-275 GHz.  Drafts of Res. 731 were submitted to WRC-2000 as an integral part of allocation proposals from both the United States and the European countries.</w:t>
      </w:r>
    </w:p>
    <w:p w14:paraId="7D9D319D" w14:textId="77777777" w:rsidR="002A248F" w:rsidRDefault="002A248F" w:rsidP="00274649">
      <w:pPr>
        <w:spacing w:before="120"/>
        <w:rPr>
          <w:b/>
          <w:bCs/>
          <w:lang w:eastAsia="ja-JP"/>
        </w:rPr>
      </w:pPr>
    </w:p>
    <w:p w14:paraId="600792FA" w14:textId="435060C5" w:rsidR="00274649" w:rsidRPr="005337BD" w:rsidRDefault="00274649" w:rsidP="00274649">
      <w:pPr>
        <w:spacing w:before="120"/>
        <w:rPr>
          <w:b/>
          <w:bCs/>
          <w:lang w:eastAsia="ja-JP"/>
        </w:rPr>
      </w:pPr>
      <w:r w:rsidRPr="005337BD">
        <w:rPr>
          <w:b/>
          <w:bCs/>
          <w:lang w:eastAsia="ja-JP"/>
        </w:rPr>
        <w:t>Discussion</w:t>
      </w:r>
    </w:p>
    <w:p w14:paraId="1D9E7749" w14:textId="5C6C02DC" w:rsidR="00274649" w:rsidRPr="005337BD" w:rsidRDefault="00274649" w:rsidP="002A248F">
      <w:pPr>
        <w:rPr>
          <w:bCs/>
          <w:lang w:eastAsia="ja-JP"/>
        </w:rPr>
      </w:pPr>
      <w:r w:rsidRPr="005337BD">
        <w:rPr>
          <w:bCs/>
          <w:lang w:eastAsia="ja-JP"/>
        </w:rPr>
        <w:t xml:space="preserve">While Resolution 731 has been in force since 2000, no </w:t>
      </w:r>
      <w:r w:rsidR="002A248F">
        <w:rPr>
          <w:bCs/>
          <w:lang w:eastAsia="ja-JP"/>
        </w:rPr>
        <w:t xml:space="preserve">ITU-R </w:t>
      </w:r>
      <w:r w:rsidRPr="005337BD">
        <w:rPr>
          <w:bCs/>
          <w:lang w:eastAsia="ja-JP"/>
        </w:rPr>
        <w:t xml:space="preserve">studies have been conducted to determine </w:t>
      </w:r>
      <w:r w:rsidR="002A248F">
        <w:rPr>
          <w:bCs/>
          <w:lang w:eastAsia="ja-JP"/>
        </w:rPr>
        <w:t xml:space="preserve">either </w:t>
      </w:r>
      <w:r w:rsidRPr="005337BD">
        <w:rPr>
          <w:bCs/>
          <w:lang w:eastAsia="ja-JP"/>
        </w:rPr>
        <w:t>‘if and under what conditions sharing is possible between active and passive services about 71 GHz’</w:t>
      </w:r>
      <w:r w:rsidR="002A248F">
        <w:rPr>
          <w:bCs/>
          <w:lang w:eastAsia="ja-JP"/>
        </w:rPr>
        <w:t xml:space="preserve"> or to study possible sharing mechanisms that might distribute “</w:t>
      </w:r>
      <w:r w:rsidR="002A248F" w:rsidRPr="00755E68">
        <w:rPr>
          <w:bCs/>
          <w:lang w:eastAsia="ja-JP"/>
        </w:rPr>
        <w:t>burden of sharing among active and passive services</w:t>
      </w:r>
      <w:r w:rsidR="002A248F">
        <w:rPr>
          <w:bCs/>
          <w:lang w:eastAsia="ja-JP"/>
        </w:rPr>
        <w:t>…</w:t>
      </w:r>
      <w:r w:rsidR="002A248F" w:rsidRPr="00755E68">
        <w:rPr>
          <w:bCs/>
          <w:lang w:eastAsia="ja-JP"/>
        </w:rPr>
        <w:t xml:space="preserve">equitably </w:t>
      </w:r>
      <w:r w:rsidR="002A248F">
        <w:rPr>
          <w:bCs/>
          <w:lang w:eastAsia="ja-JP"/>
        </w:rPr>
        <w:t>…</w:t>
      </w:r>
      <w:r w:rsidR="002A248F" w:rsidRPr="00755E68">
        <w:rPr>
          <w:bCs/>
          <w:lang w:eastAsia="ja-JP"/>
        </w:rPr>
        <w:t xml:space="preserve"> among the services to which allocations are made</w:t>
      </w:r>
      <w:r w:rsidRPr="005337BD">
        <w:rPr>
          <w:bCs/>
          <w:lang w:eastAsia="ja-JP"/>
        </w:rPr>
        <w:t>.</w:t>
      </w:r>
      <w:r w:rsidR="002A248F">
        <w:rPr>
          <w:bCs/>
          <w:lang w:eastAsia="ja-JP"/>
        </w:rPr>
        <w:t>”</w:t>
      </w:r>
    </w:p>
    <w:p w14:paraId="6352E5A9" w14:textId="510DA3B8" w:rsidR="00274649" w:rsidRDefault="00274649" w:rsidP="00274649">
      <w:pPr>
        <w:spacing w:before="120"/>
        <w:rPr>
          <w:bCs/>
          <w:lang w:eastAsia="ja-JP"/>
        </w:rPr>
      </w:pPr>
      <w:r w:rsidRPr="005337BD">
        <w:rPr>
          <w:bCs/>
          <w:lang w:eastAsia="ja-JP"/>
        </w:rPr>
        <w:t xml:space="preserve">Resolution </w:t>
      </w:r>
      <w:r w:rsidRPr="005337BD">
        <w:rPr>
          <w:b/>
          <w:bCs/>
          <w:lang w:eastAsia="ja-JP"/>
        </w:rPr>
        <w:t>731</w:t>
      </w:r>
      <w:r w:rsidRPr="005337BD">
        <w:rPr>
          <w:bCs/>
          <w:lang w:eastAsia="ja-JP"/>
        </w:rPr>
        <w:t xml:space="preserve"> explicitly includes in a non-exhaustive list in </w:t>
      </w:r>
      <w:r w:rsidRPr="005337BD">
        <w:rPr>
          <w:bCs/>
          <w:i/>
          <w:lang w:eastAsia="ja-JP"/>
        </w:rPr>
        <w:t>invites ITU-R 1)</w:t>
      </w:r>
      <w:r w:rsidRPr="005337BD">
        <w:rPr>
          <w:bCs/>
          <w:lang w:eastAsia="ja-JP"/>
        </w:rPr>
        <w:t xml:space="preserve"> some bands that are addressed in RR No. </w:t>
      </w:r>
      <w:r w:rsidRPr="005337BD">
        <w:rPr>
          <w:b/>
          <w:bCs/>
          <w:lang w:eastAsia="ja-JP"/>
        </w:rPr>
        <w:t>5.340</w:t>
      </w:r>
      <w:r w:rsidRPr="005337BD">
        <w:rPr>
          <w:bCs/>
          <w:lang w:eastAsia="ja-JP"/>
        </w:rPr>
        <w:t xml:space="preserve">.  Therefore, it can logically be concluded that the feasibility of sharing must recognize the need to protect these passive services. This would include both the </w:t>
      </w:r>
      <w:proofErr w:type="gramStart"/>
      <w:r w:rsidRPr="005337BD">
        <w:rPr>
          <w:bCs/>
          <w:lang w:eastAsia="ja-JP"/>
        </w:rPr>
        <w:t>EESS(</w:t>
      </w:r>
      <w:proofErr w:type="gramEnd"/>
      <w:r w:rsidRPr="005337BD">
        <w:rPr>
          <w:bCs/>
          <w:lang w:eastAsia="ja-JP"/>
        </w:rPr>
        <w:t xml:space="preserve">passive) and the RAS services.  Although, it is anticipated that the sharing issues, both from a technical and regulatory perspective, would involve </w:t>
      </w:r>
      <w:r w:rsidR="002A248F">
        <w:rPr>
          <w:bCs/>
          <w:lang w:eastAsia="ja-JP"/>
        </w:rPr>
        <w:t xml:space="preserve">primarily focus on </w:t>
      </w:r>
      <w:r w:rsidRPr="005337BD">
        <w:rPr>
          <w:bCs/>
          <w:lang w:eastAsia="ja-JP"/>
        </w:rPr>
        <w:t xml:space="preserve">protecting </w:t>
      </w:r>
      <w:bookmarkStart w:id="0" w:name="_Hlk54001896"/>
      <w:r w:rsidRPr="005337BD">
        <w:rPr>
          <w:bCs/>
          <w:lang w:eastAsia="ja-JP"/>
        </w:rPr>
        <w:t xml:space="preserve">earth exploration-satellite service </w:t>
      </w:r>
      <w:bookmarkEnd w:id="0"/>
      <w:r w:rsidRPr="005337BD">
        <w:rPr>
          <w:bCs/>
          <w:lang w:eastAsia="ja-JP"/>
        </w:rPr>
        <w:t xml:space="preserve">(EESS) (passive) use in bands listed in RR No. </w:t>
      </w:r>
      <w:r w:rsidRPr="005337BD">
        <w:rPr>
          <w:b/>
          <w:lang w:eastAsia="ja-JP"/>
        </w:rPr>
        <w:t>5.340</w:t>
      </w:r>
      <w:r w:rsidR="002A248F">
        <w:rPr>
          <w:b/>
          <w:lang w:eastAsia="ja-JP"/>
        </w:rPr>
        <w:t xml:space="preserve"> </w:t>
      </w:r>
      <w:r w:rsidR="002A248F">
        <w:rPr>
          <w:bCs/>
          <w:lang w:eastAsia="ja-JP"/>
        </w:rPr>
        <w:t>as protecting RAS is at these frequencies is generally simpler</w:t>
      </w:r>
      <w:r w:rsidRPr="005337BD">
        <w:rPr>
          <w:bCs/>
          <w:lang w:eastAsia="ja-JP"/>
        </w:rPr>
        <w:t xml:space="preserve">.  </w:t>
      </w:r>
    </w:p>
    <w:p w14:paraId="4DA7A2B1" w14:textId="12658A15" w:rsidR="002A248F" w:rsidRPr="005337BD" w:rsidRDefault="002A248F" w:rsidP="00274649">
      <w:pPr>
        <w:spacing w:before="120"/>
        <w:rPr>
          <w:bCs/>
          <w:lang w:eastAsia="ja-JP"/>
        </w:rPr>
      </w:pPr>
      <w:r>
        <w:rPr>
          <w:bCs/>
          <w:lang w:eastAsia="ja-JP"/>
        </w:rPr>
        <w:t xml:space="preserve">EESS(p) sensors use downward </w:t>
      </w:r>
      <w:r w:rsidR="00F9703D">
        <w:rPr>
          <w:bCs/>
          <w:lang w:eastAsia="ja-JP"/>
        </w:rPr>
        <w:t>o</w:t>
      </w:r>
      <w:r>
        <w:rPr>
          <w:bCs/>
          <w:lang w:eastAsia="ja-JP"/>
        </w:rPr>
        <w:t xml:space="preserve">r </w:t>
      </w:r>
      <w:r w:rsidR="00F9703D">
        <w:rPr>
          <w:bCs/>
          <w:lang w:eastAsia="ja-JP"/>
        </w:rPr>
        <w:t>forward-facing</w:t>
      </w:r>
      <w:r>
        <w:rPr>
          <w:bCs/>
          <w:lang w:eastAsia="ja-JP"/>
        </w:rPr>
        <w:t xml:space="preserve"> antennas that generally cover the whole surface of the Earth from NGSO satellites and thus are potentially vulnerable to terrestrial emissions anywhere on Earth.  RAS sensors</w:t>
      </w:r>
      <w:r w:rsidR="005E7E3E">
        <w:rPr>
          <w:bCs/>
          <w:lang w:eastAsia="ja-JP"/>
        </w:rPr>
        <w:t xml:space="preserve"> use upward looking antennas at a small number of observatories that are generally located in high altitude arid areas to minimize the propagation impact of atmospheric molecules.  Thus</w:t>
      </w:r>
      <w:r w:rsidR="005C4F9E">
        <w:rPr>
          <w:bCs/>
          <w:lang w:eastAsia="ja-JP"/>
        </w:rPr>
        <w:t>,</w:t>
      </w:r>
      <w:r w:rsidR="005E7E3E">
        <w:rPr>
          <w:bCs/>
          <w:lang w:eastAsia="ja-JP"/>
        </w:rPr>
        <w:t xml:space="preserve"> RAS c</w:t>
      </w:r>
      <w:r w:rsidR="00F9703D">
        <w:rPr>
          <w:bCs/>
          <w:lang w:eastAsia="ja-JP"/>
        </w:rPr>
        <w:t xml:space="preserve">ould potentially </w:t>
      </w:r>
      <w:r w:rsidR="005E7E3E">
        <w:rPr>
          <w:bCs/>
          <w:lang w:eastAsia="ja-JP"/>
        </w:rPr>
        <w:t>be protected from transmissions in 71-275 GHz by banning or restricting such transmissions in a small fraction of the surface area of the Earth</w:t>
      </w:r>
      <w:r w:rsidR="00F9703D">
        <w:rPr>
          <w:bCs/>
          <w:lang w:eastAsia="ja-JP"/>
        </w:rPr>
        <w:t xml:space="preserve"> that is near RAS facilities that cover the affected bands</w:t>
      </w:r>
      <w:r w:rsidR="005E7E3E">
        <w:rPr>
          <w:bCs/>
          <w:lang w:eastAsia="ja-JP"/>
        </w:rPr>
        <w:t>.</w:t>
      </w:r>
    </w:p>
    <w:p w14:paraId="7E4182CC" w14:textId="4B56FCA1" w:rsidR="00274649" w:rsidRPr="005337BD" w:rsidRDefault="00274649" w:rsidP="00274649">
      <w:pPr>
        <w:spacing w:before="120"/>
        <w:rPr>
          <w:bCs/>
          <w:lang w:eastAsia="ja-JP"/>
        </w:rPr>
      </w:pPr>
      <w:r w:rsidRPr="005337BD">
        <w:rPr>
          <w:bCs/>
          <w:lang w:eastAsia="ja-JP"/>
        </w:rPr>
        <w:t xml:space="preserve">While RR No. </w:t>
      </w:r>
      <w:r w:rsidRPr="005337BD">
        <w:rPr>
          <w:b/>
          <w:bCs/>
          <w:lang w:eastAsia="ja-JP"/>
        </w:rPr>
        <w:t>5.340</w:t>
      </w:r>
      <w:r w:rsidRPr="005337BD">
        <w:rPr>
          <w:bCs/>
          <w:lang w:eastAsia="ja-JP"/>
        </w:rPr>
        <w:t xml:space="preserve"> bands individually have bandwidths of a few GHz, the locations of the 11 such bands in 71-275 GHz limit the ability to create large contiguous blocks of spectrum for use by active services unless a sharing environment can be created to ensure the protection of the passive operations.  Sharing above 71 GHz raises different technical issues than in the lower </w:t>
      </w:r>
      <w:r>
        <w:rPr>
          <w:bCs/>
          <w:lang w:eastAsia="ja-JP"/>
        </w:rPr>
        <w:t xml:space="preserve">passive bands.  </w:t>
      </w:r>
      <w:r w:rsidRPr="005337BD">
        <w:rPr>
          <w:bCs/>
          <w:lang w:eastAsia="ja-JP"/>
        </w:rPr>
        <w:t xml:space="preserve">Above 71 GHz atmospheric absorption is a key factor, and thus overall propagation loss, can vary greatly with respect to frequency and elevation angle.    Thus, a method should be found to limit active emissions to levels that do not cause harmful interference to RAS and EESS (passive) systems.  </w:t>
      </w:r>
    </w:p>
    <w:p w14:paraId="3243B65C" w14:textId="30021ACB" w:rsidR="00274649" w:rsidRPr="005337BD" w:rsidRDefault="00274649" w:rsidP="00274649">
      <w:pPr>
        <w:spacing w:before="120"/>
        <w:rPr>
          <w:bCs/>
          <w:lang w:eastAsia="ja-JP"/>
        </w:rPr>
      </w:pPr>
      <w:r w:rsidRPr="005337BD">
        <w:rPr>
          <w:bCs/>
          <w:lang w:eastAsia="ja-JP"/>
        </w:rPr>
        <w:t xml:space="preserve">Protection of RAS and EESS (passive) systems is especially critical for RR No. </w:t>
      </w:r>
      <w:r w:rsidRPr="005337BD">
        <w:rPr>
          <w:b/>
          <w:bCs/>
          <w:lang w:eastAsia="ja-JP"/>
        </w:rPr>
        <w:t>5.340</w:t>
      </w:r>
      <w:r w:rsidRPr="005337BD">
        <w:rPr>
          <w:bCs/>
          <w:lang w:eastAsia="ja-JP"/>
        </w:rPr>
        <w:t xml:space="preserve"> bands where no emissions are allowed.  Assembling defined terrestrial fixed and mobile service system characteristics and passive sensor characteristics and protection criteria is an important first step in beginning this work to determine the feasibility of interference-free sharing and the possibility of what specific conditions could be established to enable the sharing of these frequency bands by active and passive services, noting, as outlined in Resolution </w:t>
      </w:r>
      <w:r w:rsidRPr="005337BD">
        <w:rPr>
          <w:b/>
          <w:bCs/>
          <w:lang w:eastAsia="ja-JP"/>
        </w:rPr>
        <w:t>731 (Rev. WRC-</w:t>
      </w:r>
      <w:r w:rsidR="005E7E3E">
        <w:rPr>
          <w:b/>
          <w:bCs/>
          <w:lang w:eastAsia="ja-JP"/>
        </w:rPr>
        <w:t>23</w:t>
      </w:r>
      <w:r w:rsidRPr="005337BD">
        <w:rPr>
          <w:b/>
          <w:bCs/>
          <w:lang w:eastAsia="ja-JP"/>
        </w:rPr>
        <w:t>)</w:t>
      </w:r>
      <w:r w:rsidRPr="005337BD">
        <w:rPr>
          <w:bCs/>
          <w:lang w:eastAsia="ja-JP"/>
        </w:rPr>
        <w:t xml:space="preserve"> the principles of burden-sharing to the extent practicable in the studies.  </w:t>
      </w:r>
    </w:p>
    <w:p w14:paraId="6AB7B0A0" w14:textId="77777777" w:rsidR="00274649" w:rsidRPr="005337BD" w:rsidRDefault="00274649" w:rsidP="00274649">
      <w:pPr>
        <w:spacing w:before="120"/>
        <w:rPr>
          <w:bCs/>
          <w:lang w:eastAsia="ja-JP"/>
        </w:rPr>
      </w:pPr>
      <w:r w:rsidRPr="005337BD">
        <w:rPr>
          <w:bCs/>
          <w:lang w:eastAsia="ja-JP"/>
        </w:rPr>
        <w:t xml:space="preserve">It is likely that taking the usual approach (i.e., asking the active services for characteristics and then doing sharing studies that show if sharing is feasible or not) will not be productive.  There </w:t>
      </w:r>
      <w:r w:rsidRPr="005337BD">
        <w:rPr>
          <w:bCs/>
          <w:lang w:eastAsia="ja-JP"/>
        </w:rPr>
        <w:lastRenderedPageBreak/>
        <w:t>are two reasons to expect this: 1) because the active systems operating in those bands are either relatively old technologies without state-of-the-art filters, or 2) because there are no existing characteristics in the band.</w:t>
      </w:r>
    </w:p>
    <w:p w14:paraId="23FFD5B9" w14:textId="77777777" w:rsidR="00274649" w:rsidRPr="005337BD" w:rsidRDefault="00274649" w:rsidP="00274649">
      <w:pPr>
        <w:spacing w:before="120"/>
        <w:rPr>
          <w:bCs/>
          <w:highlight w:val="yellow"/>
          <w:lang w:eastAsia="ja-JP"/>
        </w:rPr>
      </w:pPr>
      <w:r>
        <w:rPr>
          <w:bCs/>
          <w:lang w:eastAsia="ja-JP"/>
        </w:rPr>
        <w:t xml:space="preserve">In this </w:t>
      </w:r>
      <w:proofErr w:type="gramStart"/>
      <w:r>
        <w:rPr>
          <w:bCs/>
          <w:lang w:eastAsia="ja-JP"/>
        </w:rPr>
        <w:t>framework,  a</w:t>
      </w:r>
      <w:r w:rsidRPr="005337BD">
        <w:rPr>
          <w:bCs/>
          <w:lang w:eastAsia="ja-JP"/>
        </w:rPr>
        <w:t>n</w:t>
      </w:r>
      <w:proofErr w:type="gramEnd"/>
      <w:r w:rsidRPr="005337BD">
        <w:rPr>
          <w:bCs/>
          <w:lang w:eastAsia="ja-JP"/>
        </w:rPr>
        <w:t xml:space="preserve"> alternative approach to this very difficult sharing scenario would be to start with the characteristics of the passive services and indicate to the active services that systems in these bands would need to be designed in such a way as to protect the passive services.  This would allow the passive services to continue unimpeded operation, while offering the active services a mechanism by which sharing would be feasible in the future.</w:t>
      </w:r>
    </w:p>
    <w:p w14:paraId="28B6EDC1" w14:textId="5BCAAE71" w:rsidR="00274649" w:rsidRDefault="00274649" w:rsidP="00274649">
      <w:pPr>
        <w:spacing w:before="120"/>
        <w:rPr>
          <w:bCs/>
          <w:lang w:eastAsia="ja-JP"/>
        </w:rPr>
      </w:pPr>
      <w:r w:rsidRPr="005337BD">
        <w:rPr>
          <w:bCs/>
          <w:lang w:eastAsia="ja-JP"/>
        </w:rPr>
        <w:t>Fixed and mobile service communications should both be considered in this work. At this time, it may be that Fixed service coexistence and feasibility studies may be less complex due to the fixed geometry and the fact that the usually non-active antennas may present clearer sharing scenarios when compared to Mobile service applications.    Fixed systems above 71 GHz have the potential for quick deployment (compared to wired/fiber links) for paths with a distance of a few km as well as lower costs in places with difficult terrain for wired installations, requirements for temporary high-bandwidth restoration links and other short-term connectivity needs. Mobile service studies may have more challenges than fixed service; and studies by both active services may seek opportunities to collectively coordinate and collaborate on the studies, as practicable.</w:t>
      </w:r>
      <w:r w:rsidR="005E7E3E">
        <w:rPr>
          <w:bCs/>
          <w:lang w:eastAsia="ja-JP"/>
        </w:rPr>
        <w:t xml:space="preserve"> </w:t>
      </w:r>
    </w:p>
    <w:p w14:paraId="6AE3F8FC" w14:textId="77777777" w:rsidR="005E7E3E" w:rsidRDefault="005E7E3E" w:rsidP="00274649">
      <w:pPr>
        <w:spacing w:before="120"/>
        <w:rPr>
          <w:bCs/>
          <w:lang w:eastAsia="ja-JP"/>
        </w:rPr>
      </w:pPr>
    </w:p>
    <w:p w14:paraId="45CAE724" w14:textId="3DBC00DA" w:rsidR="005E7E3E" w:rsidRPr="00A708D0" w:rsidRDefault="005E7E3E" w:rsidP="00274649">
      <w:pPr>
        <w:spacing w:before="120"/>
        <w:rPr>
          <w:bCs/>
          <w:lang w:eastAsia="ja-JP"/>
        </w:rPr>
      </w:pPr>
      <w:proofErr w:type="gramStart"/>
      <w:r>
        <w:rPr>
          <w:bCs/>
          <w:lang w:eastAsia="ja-JP"/>
        </w:rPr>
        <w:t>In order to</w:t>
      </w:r>
      <w:proofErr w:type="gramEnd"/>
      <w:r>
        <w:rPr>
          <w:bCs/>
          <w:lang w:eastAsia="ja-JP"/>
        </w:rPr>
        <w:t xml:space="preserve"> address the burden sharing provisions of </w:t>
      </w:r>
      <w:r>
        <w:rPr>
          <w:bCs/>
          <w:i/>
          <w:iCs/>
          <w:lang w:eastAsia="ja-JP"/>
        </w:rPr>
        <w:t xml:space="preserve">Recognizing b) </w:t>
      </w:r>
      <w:r>
        <w:rPr>
          <w:bCs/>
          <w:lang w:eastAsia="ja-JP"/>
        </w:rPr>
        <w:t xml:space="preserve">and </w:t>
      </w:r>
      <w:r w:rsidRPr="005E7E3E">
        <w:rPr>
          <w:bCs/>
          <w:i/>
          <w:iCs/>
          <w:lang w:eastAsia="ja-JP"/>
        </w:rPr>
        <w:t>Invites 5</w:t>
      </w:r>
      <w:r>
        <w:rPr>
          <w:bCs/>
          <w:i/>
          <w:iCs/>
          <w:lang w:eastAsia="ja-JP"/>
        </w:rPr>
        <w:t xml:space="preserve">) </w:t>
      </w:r>
      <w:r>
        <w:rPr>
          <w:bCs/>
          <w:lang w:eastAsia="ja-JP"/>
        </w:rPr>
        <w:t xml:space="preserve">a dialogue between that &gt;71 GHz active technology community and the EESS(p) community is needed to discuss the mutual impact of possible approaches.  As an example of possible approaches involves dynamically changing transmissions as EESS(p) satellites pass in the sky above a transmitter.  There are at least two options here.  The first involves implementing a terrestrial Fixed Service network as a </w:t>
      </w:r>
      <w:proofErr w:type="spellStart"/>
      <w:r>
        <w:rPr>
          <w:bCs/>
          <w:lang w:eastAsia="ja-JP"/>
        </w:rPr>
        <w:t>polygrid</w:t>
      </w:r>
      <w:proofErr w:type="spellEnd"/>
      <w:r>
        <w:rPr>
          <w:bCs/>
          <w:lang w:eastAsia="ja-JP"/>
        </w:rPr>
        <w:t xml:space="preserve"> with alternative routing </w:t>
      </w:r>
      <w:r w:rsidR="00A708D0">
        <w:rPr>
          <w:bCs/>
          <w:lang w:eastAsia="ja-JP"/>
        </w:rPr>
        <w:t>and</w:t>
      </w:r>
      <w:r>
        <w:rPr>
          <w:bCs/>
          <w:lang w:eastAsia="ja-JP"/>
        </w:rPr>
        <w:t xml:space="preserve"> changing the routing</w:t>
      </w:r>
      <w:r w:rsidR="00A708D0">
        <w:rPr>
          <w:bCs/>
          <w:lang w:eastAsia="ja-JP"/>
        </w:rPr>
        <w:t xml:space="preserve"> during the satellite pass </w:t>
      </w:r>
      <w:proofErr w:type="gramStart"/>
      <w:r w:rsidR="00A708D0">
        <w:rPr>
          <w:bCs/>
          <w:lang w:eastAsia="ja-JP"/>
        </w:rPr>
        <w:t>in order to</w:t>
      </w:r>
      <w:proofErr w:type="gramEnd"/>
      <w:r w:rsidR="00A708D0">
        <w:rPr>
          <w:bCs/>
          <w:lang w:eastAsia="ja-JP"/>
        </w:rPr>
        <w:t xml:space="preserve"> meet the protection goals of </w:t>
      </w:r>
      <w:r w:rsidR="00A708D0" w:rsidRPr="00A708D0">
        <w:rPr>
          <w:b/>
          <w:lang w:eastAsia="ja-JP"/>
        </w:rPr>
        <w:t>Res. 731</w:t>
      </w:r>
      <w:r w:rsidR="00A708D0">
        <w:rPr>
          <w:bCs/>
          <w:lang w:eastAsia="ja-JP"/>
        </w:rPr>
        <w:t xml:space="preserve">. A second alternative involves integrating antenna nulling technology with MIMO technology in Fixed Service antennas and using known ephemeris information for the EESS(p) satellites to determine the altitude angle and azimuth for a null centered on the satellite.  </w:t>
      </w:r>
      <w:proofErr w:type="gramStart"/>
      <w:r w:rsidR="00A708D0">
        <w:rPr>
          <w:bCs/>
          <w:lang w:eastAsia="ja-JP"/>
        </w:rPr>
        <w:t>Both of these</w:t>
      </w:r>
      <w:proofErr w:type="gramEnd"/>
      <w:r w:rsidR="00A708D0">
        <w:rPr>
          <w:bCs/>
          <w:lang w:eastAsia="ja-JP"/>
        </w:rPr>
        <w:t xml:space="preserve"> approaches burden both the terrestrial user as well as the EESS(p) user and could not be done with currently operating satellites.  </w:t>
      </w:r>
      <w:proofErr w:type="gramStart"/>
      <w:r w:rsidR="00A708D0">
        <w:rPr>
          <w:bCs/>
          <w:lang w:eastAsia="ja-JP"/>
        </w:rPr>
        <w:t>Thus</w:t>
      </w:r>
      <w:proofErr w:type="gramEnd"/>
      <w:r w:rsidR="00A708D0">
        <w:rPr>
          <w:bCs/>
          <w:lang w:eastAsia="ja-JP"/>
        </w:rPr>
        <w:t xml:space="preserve"> any implementation will require a lengthy analysis and testing period and then the design and launch of new satellites.  The impact for the terrestrial user in each example is clear, either building and operating a </w:t>
      </w:r>
      <w:proofErr w:type="spellStart"/>
      <w:r w:rsidR="00A708D0">
        <w:rPr>
          <w:bCs/>
          <w:lang w:eastAsia="ja-JP"/>
        </w:rPr>
        <w:t>polygrid</w:t>
      </w:r>
      <w:proofErr w:type="spellEnd"/>
      <w:r w:rsidR="00A708D0">
        <w:rPr>
          <w:bCs/>
          <w:lang w:eastAsia="ja-JP"/>
        </w:rPr>
        <w:t xml:space="preserve"> with dynamic routine or adding nulling capability to MIMO antennas which will likely require </w:t>
      </w:r>
      <w:proofErr w:type="gramStart"/>
      <w:r w:rsidR="00A708D0">
        <w:rPr>
          <w:bCs/>
          <w:lang w:eastAsia="ja-JP"/>
        </w:rPr>
        <w:t>a large number of</w:t>
      </w:r>
      <w:proofErr w:type="gramEnd"/>
      <w:r w:rsidR="00A708D0">
        <w:rPr>
          <w:bCs/>
          <w:lang w:eastAsia="ja-JP"/>
        </w:rPr>
        <w:t xml:space="preserve"> antenna elements. For the EESS(p) satellites the burden will be different for these options.  The </w:t>
      </w:r>
      <w:proofErr w:type="gramStart"/>
      <w:r w:rsidR="00A708D0">
        <w:rPr>
          <w:bCs/>
          <w:lang w:eastAsia="ja-JP"/>
        </w:rPr>
        <w:t>option</w:t>
      </w:r>
      <w:proofErr w:type="gramEnd"/>
      <w:r w:rsidR="00A708D0">
        <w:rPr>
          <w:bCs/>
          <w:lang w:eastAsia="ja-JP"/>
        </w:rPr>
        <w:t xml:space="preserve"> </w:t>
      </w:r>
      <w:proofErr w:type="gramStart"/>
      <w:r w:rsidR="00A708D0">
        <w:rPr>
          <w:bCs/>
          <w:lang w:eastAsia="ja-JP"/>
        </w:rPr>
        <w:t>are</w:t>
      </w:r>
      <w:proofErr w:type="gramEnd"/>
      <w:r w:rsidR="00A708D0">
        <w:rPr>
          <w:bCs/>
          <w:lang w:eastAsia="ja-JP"/>
        </w:rPr>
        <w:t xml:space="preserve"> only feasible if the number of EESS(p) satellites, or close</w:t>
      </w:r>
      <w:r w:rsidR="00C52212">
        <w:rPr>
          <w:bCs/>
          <w:lang w:eastAsia="ja-JP"/>
        </w:rPr>
        <w:t>ly spaced</w:t>
      </w:r>
      <w:r w:rsidR="00A708D0">
        <w:rPr>
          <w:bCs/>
          <w:lang w:eastAsia="ja-JP"/>
        </w:rPr>
        <w:t xml:space="preserve"> group</w:t>
      </w:r>
      <w:r w:rsidR="00C52212">
        <w:rPr>
          <w:bCs/>
          <w:lang w:eastAsia="ja-JP"/>
        </w:rPr>
        <w:t>s</w:t>
      </w:r>
      <w:r w:rsidR="00A708D0">
        <w:rPr>
          <w:bCs/>
          <w:lang w:eastAsia="ja-JP"/>
        </w:rPr>
        <w:t xml:space="preserve"> of satellites</w:t>
      </w:r>
      <w:r w:rsidR="00C52212">
        <w:rPr>
          <w:bCs/>
          <w:lang w:eastAsia="ja-JP"/>
        </w:rPr>
        <w:t>,</w:t>
      </w:r>
      <w:r w:rsidR="00A708D0">
        <w:rPr>
          <w:bCs/>
          <w:lang w:eastAsia="ja-JP"/>
        </w:rPr>
        <w:t xml:space="preserve"> in a given passive allocation</w:t>
      </w:r>
      <w:r w:rsidR="00FC3F23">
        <w:rPr>
          <w:bCs/>
          <w:lang w:eastAsia="ja-JP"/>
        </w:rPr>
        <w:t xml:space="preserve"> visible from the ground in any area on Earth is limited and is known.</w:t>
      </w:r>
      <w:r w:rsidR="00C52212">
        <w:rPr>
          <w:bCs/>
          <w:lang w:eastAsia="ja-JP"/>
        </w:rPr>
        <w:t xml:space="preserve">  At present there is no regulation of passive satellite orbits or even mandatory publication of sensor frequencies and ephemeris data.  </w:t>
      </w:r>
      <w:proofErr w:type="gramStart"/>
      <w:r w:rsidR="00C52212">
        <w:rPr>
          <w:bCs/>
          <w:lang w:eastAsia="ja-JP"/>
        </w:rPr>
        <w:t>Thus</w:t>
      </w:r>
      <w:proofErr w:type="gramEnd"/>
      <w:r w:rsidR="00C52212">
        <w:rPr>
          <w:bCs/>
          <w:lang w:eastAsia="ja-JP"/>
        </w:rPr>
        <w:t xml:space="preserve"> both communities have “burdens” that enable the proper operation of the other users.</w:t>
      </w:r>
    </w:p>
    <w:p w14:paraId="0CCBCCE6" w14:textId="77777777" w:rsidR="00274649" w:rsidRPr="005337BD" w:rsidRDefault="00274649" w:rsidP="00274649">
      <w:pPr>
        <w:spacing w:before="120"/>
        <w:rPr>
          <w:b/>
          <w:bCs/>
          <w:lang w:eastAsia="ja-JP"/>
        </w:rPr>
      </w:pPr>
      <w:r w:rsidRPr="005337BD">
        <w:rPr>
          <w:b/>
          <w:bCs/>
          <w:lang w:eastAsia="ja-JP"/>
        </w:rPr>
        <w:t>Proposal</w:t>
      </w:r>
    </w:p>
    <w:p w14:paraId="0180477C" w14:textId="181FEB47" w:rsidR="00274649" w:rsidRPr="005337BD" w:rsidRDefault="00274649" w:rsidP="00274649">
      <w:pPr>
        <w:spacing w:before="120"/>
        <w:rPr>
          <w:bCs/>
        </w:rPr>
      </w:pPr>
      <w:r w:rsidRPr="005337BD">
        <w:rPr>
          <w:bCs/>
        </w:rPr>
        <w:t xml:space="preserve">The United States proposes initiating the studies called for in Resolution </w:t>
      </w:r>
      <w:r w:rsidRPr="005337BD">
        <w:rPr>
          <w:b/>
          <w:bCs/>
        </w:rPr>
        <w:t>731 (Rev.WRC-</w:t>
      </w:r>
      <w:r w:rsidR="00C52212">
        <w:rPr>
          <w:b/>
          <w:bCs/>
        </w:rPr>
        <w:t>23</w:t>
      </w:r>
      <w:r w:rsidRPr="005337BD">
        <w:rPr>
          <w:b/>
          <w:bCs/>
        </w:rPr>
        <w:t>)</w:t>
      </w:r>
      <w:r w:rsidRPr="005337BD">
        <w:rPr>
          <w:bCs/>
        </w:rPr>
        <w:t xml:space="preserve"> to explore under what conditions sharing could be possible between active and passive services in the frequency bands above 71 GHz</w:t>
      </w:r>
      <w:r w:rsidR="00C52212">
        <w:rPr>
          <w:bCs/>
        </w:rPr>
        <w:t xml:space="preserve"> and on approaches to burden sharing</w:t>
      </w:r>
      <w:r w:rsidRPr="005337BD">
        <w:rPr>
          <w:bCs/>
        </w:rPr>
        <w:t xml:space="preserve"> </w:t>
      </w:r>
      <w:r w:rsidR="00C52212">
        <w:rPr>
          <w:bCs/>
        </w:rPr>
        <w:t>between the active and passive services.</w:t>
      </w:r>
      <w:r w:rsidRPr="005337BD">
        <w:rPr>
          <w:bCs/>
        </w:rPr>
        <w:t xml:space="preserve"> </w:t>
      </w:r>
      <w:proofErr w:type="gramStart"/>
      <w:r w:rsidRPr="005337BD">
        <w:rPr>
          <w:bCs/>
        </w:rPr>
        <w:t>In order to</w:t>
      </w:r>
      <w:proofErr w:type="gramEnd"/>
      <w:r w:rsidRPr="005337BD">
        <w:rPr>
          <w:bCs/>
        </w:rPr>
        <w:t xml:space="preserve"> initiate this effort, the United States proposes liaising with relevant </w:t>
      </w:r>
      <w:r w:rsidRPr="005337BD">
        <w:rPr>
          <w:bCs/>
        </w:rPr>
        <w:lastRenderedPageBreak/>
        <w:t xml:space="preserve">working parties to develop a framework for the studies called for in Resolution </w:t>
      </w:r>
      <w:r w:rsidRPr="005337BD">
        <w:rPr>
          <w:b/>
          <w:bCs/>
        </w:rPr>
        <w:t>731 (Rev.WRC-</w:t>
      </w:r>
      <w:r w:rsidR="00C52212">
        <w:rPr>
          <w:b/>
          <w:bCs/>
        </w:rPr>
        <w:t>23</w:t>
      </w:r>
      <w:r w:rsidRPr="005337BD">
        <w:rPr>
          <w:bCs/>
        </w:rPr>
        <w:t xml:space="preserve"> </w:t>
      </w:r>
    </w:p>
    <w:p w14:paraId="31430ECE" w14:textId="77777777" w:rsidR="00274649" w:rsidRPr="005337BD" w:rsidRDefault="00274649" w:rsidP="00274649">
      <w:pPr>
        <w:spacing w:before="120"/>
        <w:rPr>
          <w:bCs/>
        </w:rPr>
      </w:pPr>
      <w:r w:rsidRPr="005337BD">
        <w:rPr>
          <w:bCs/>
        </w:rPr>
        <w:t>A draft liaison statement is provided for the consideration of WP 1A.</w:t>
      </w:r>
    </w:p>
    <w:p w14:paraId="749BB57F" w14:textId="77777777" w:rsidR="00274649" w:rsidRPr="005337BD" w:rsidRDefault="00274649" w:rsidP="00274649">
      <w:pPr>
        <w:spacing w:before="120"/>
        <w:rPr>
          <w:bCs/>
        </w:rPr>
      </w:pPr>
    </w:p>
    <w:p w14:paraId="148ECB7A" w14:textId="77777777" w:rsidR="00274649" w:rsidRPr="005337BD" w:rsidRDefault="00274649" w:rsidP="00274649">
      <w:pPr>
        <w:spacing w:before="120"/>
        <w:rPr>
          <w:bCs/>
        </w:rPr>
      </w:pPr>
      <w:r w:rsidRPr="005337BD">
        <w:rPr>
          <w:bCs/>
        </w:rPr>
        <w:t>Attachment:  Draft liaison statement</w:t>
      </w:r>
    </w:p>
    <w:p w14:paraId="4520CCA1" w14:textId="77777777" w:rsidR="00274649" w:rsidRPr="005337BD" w:rsidRDefault="00274649" w:rsidP="00274649">
      <w:pPr>
        <w:rPr>
          <w:lang w:eastAsia="zh-CN"/>
        </w:rPr>
      </w:pPr>
      <w:r w:rsidRPr="005337BD">
        <w:br w:type="page"/>
      </w:r>
      <w:bookmarkStart w:id="1" w:name="dbreak"/>
      <w:bookmarkEnd w:id="1"/>
    </w:p>
    <w:p w14:paraId="16571701" w14:textId="77777777" w:rsidR="00274649" w:rsidRPr="006C7708" w:rsidRDefault="00274649" w:rsidP="0027464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74649" w:rsidRPr="006C7708" w14:paraId="443D1D11" w14:textId="77777777" w:rsidTr="00E80CBC">
        <w:trPr>
          <w:cantSplit/>
        </w:trPr>
        <w:tc>
          <w:tcPr>
            <w:tcW w:w="6487" w:type="dxa"/>
            <w:vAlign w:val="center"/>
          </w:tcPr>
          <w:p w14:paraId="261A4507" w14:textId="77777777" w:rsidR="00274649" w:rsidRPr="006C7708" w:rsidRDefault="00274649" w:rsidP="00E80CBC">
            <w:pPr>
              <w:shd w:val="solid" w:color="FFFFFF" w:fill="FFFFFF"/>
              <w:rPr>
                <w:rFonts w:ascii="Verdana" w:hAnsi="Verdana" w:cs="Times New Roman Bold"/>
                <w:b/>
                <w:bCs/>
                <w:sz w:val="26"/>
                <w:szCs w:val="26"/>
              </w:rPr>
            </w:pPr>
            <w:r w:rsidRPr="006C7708">
              <w:rPr>
                <w:rFonts w:ascii="Verdana" w:hAnsi="Verdana" w:cs="Times New Roman Bold"/>
                <w:b/>
                <w:bCs/>
                <w:sz w:val="26"/>
                <w:szCs w:val="26"/>
              </w:rPr>
              <w:t>Radiocommunication Study Groups</w:t>
            </w:r>
          </w:p>
        </w:tc>
        <w:tc>
          <w:tcPr>
            <w:tcW w:w="3402" w:type="dxa"/>
          </w:tcPr>
          <w:p w14:paraId="58D6D1D7" w14:textId="77777777" w:rsidR="00274649" w:rsidRPr="006C7708" w:rsidRDefault="00274649" w:rsidP="00E80CBC">
            <w:pPr>
              <w:shd w:val="solid" w:color="FFFFFF" w:fill="FFFFFF"/>
              <w:spacing w:line="240" w:lineRule="atLeast"/>
            </w:pPr>
            <w:r w:rsidRPr="006C7708">
              <w:rPr>
                <w:noProof/>
              </w:rPr>
              <w:drawing>
                <wp:inline distT="0" distB="0" distL="0" distR="0" wp14:anchorId="00281E9F" wp14:editId="76EA0BCE">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74649" w:rsidRPr="006C7708" w14:paraId="79D737E9" w14:textId="77777777" w:rsidTr="00E80CBC">
        <w:trPr>
          <w:cantSplit/>
        </w:trPr>
        <w:tc>
          <w:tcPr>
            <w:tcW w:w="6487" w:type="dxa"/>
            <w:tcBorders>
              <w:bottom w:val="single" w:sz="12" w:space="0" w:color="auto"/>
            </w:tcBorders>
          </w:tcPr>
          <w:p w14:paraId="7790E798" w14:textId="77777777" w:rsidR="00274649" w:rsidRPr="006C7708" w:rsidRDefault="00274649" w:rsidP="00E80CBC">
            <w:pPr>
              <w:shd w:val="solid" w:color="FFFFFF" w:fill="FFFFFF"/>
              <w:spacing w:after="48"/>
              <w:rPr>
                <w:rFonts w:ascii="Verdana" w:hAnsi="Verdana" w:cs="Times New Roman Bold"/>
                <w:b/>
              </w:rPr>
            </w:pPr>
          </w:p>
        </w:tc>
        <w:tc>
          <w:tcPr>
            <w:tcW w:w="3402" w:type="dxa"/>
            <w:tcBorders>
              <w:bottom w:val="single" w:sz="12" w:space="0" w:color="auto"/>
            </w:tcBorders>
          </w:tcPr>
          <w:p w14:paraId="0D11AAEF" w14:textId="77777777" w:rsidR="00274649" w:rsidRPr="006C7708" w:rsidRDefault="00274649" w:rsidP="00E80CBC">
            <w:pPr>
              <w:shd w:val="solid" w:color="FFFFFF" w:fill="FFFFFF"/>
              <w:spacing w:after="48" w:line="240" w:lineRule="atLeast"/>
            </w:pPr>
          </w:p>
        </w:tc>
      </w:tr>
      <w:tr w:rsidR="00274649" w:rsidRPr="006C7708" w14:paraId="7A889C2B" w14:textId="77777777" w:rsidTr="00E80CBC">
        <w:trPr>
          <w:cantSplit/>
        </w:trPr>
        <w:tc>
          <w:tcPr>
            <w:tcW w:w="6487" w:type="dxa"/>
            <w:tcBorders>
              <w:top w:val="single" w:sz="12" w:space="0" w:color="auto"/>
            </w:tcBorders>
          </w:tcPr>
          <w:p w14:paraId="5088E279" w14:textId="77777777" w:rsidR="00274649" w:rsidRPr="006C7708" w:rsidRDefault="00274649" w:rsidP="00E80CBC">
            <w:pPr>
              <w:shd w:val="solid" w:color="FFFFFF" w:fill="FFFFFF"/>
              <w:spacing w:after="48"/>
              <w:rPr>
                <w:rFonts w:ascii="Verdana" w:hAnsi="Verdana" w:cs="Times New Roman Bold"/>
                <w:bCs/>
              </w:rPr>
            </w:pPr>
          </w:p>
        </w:tc>
        <w:tc>
          <w:tcPr>
            <w:tcW w:w="3402" w:type="dxa"/>
            <w:tcBorders>
              <w:top w:val="single" w:sz="12" w:space="0" w:color="auto"/>
            </w:tcBorders>
          </w:tcPr>
          <w:p w14:paraId="2E652D53" w14:textId="77777777" w:rsidR="00274649" w:rsidRPr="006C7708" w:rsidRDefault="00274649" w:rsidP="00E80CBC">
            <w:pPr>
              <w:shd w:val="solid" w:color="FFFFFF" w:fill="FFFFFF"/>
              <w:spacing w:after="48" w:line="240" w:lineRule="atLeast"/>
            </w:pPr>
          </w:p>
        </w:tc>
      </w:tr>
      <w:tr w:rsidR="00274649" w:rsidRPr="006C7708" w14:paraId="0D6B37FC" w14:textId="77777777" w:rsidTr="00E80CBC">
        <w:trPr>
          <w:cantSplit/>
        </w:trPr>
        <w:tc>
          <w:tcPr>
            <w:tcW w:w="6487" w:type="dxa"/>
            <w:vMerge w:val="restart"/>
          </w:tcPr>
          <w:p w14:paraId="65DC27B6" w14:textId="77777777" w:rsidR="00274649" w:rsidRPr="006C7708" w:rsidRDefault="00274649" w:rsidP="00E80CBC">
            <w:pPr>
              <w:shd w:val="solid" w:color="FFFFFF" w:fill="FFFFFF"/>
              <w:spacing w:after="240"/>
              <w:ind w:left="1134" w:hanging="1134"/>
              <w:rPr>
                <w:rFonts w:ascii="Verdana" w:hAnsi="Verdana"/>
                <w:sz w:val="20"/>
              </w:rPr>
            </w:pPr>
            <w:r w:rsidRPr="006C7708">
              <w:rPr>
                <w:rFonts w:ascii="Verdana" w:hAnsi="Verdana"/>
                <w:sz w:val="20"/>
              </w:rPr>
              <w:t>Source:</w:t>
            </w:r>
            <w:r w:rsidRPr="006C7708">
              <w:rPr>
                <w:rFonts w:ascii="Verdana" w:hAnsi="Verdana"/>
                <w:sz w:val="20"/>
              </w:rPr>
              <w:tab/>
              <w:t>___________</w:t>
            </w:r>
          </w:p>
        </w:tc>
        <w:tc>
          <w:tcPr>
            <w:tcW w:w="3402" w:type="dxa"/>
          </w:tcPr>
          <w:p w14:paraId="49EC6854" w14:textId="77777777" w:rsidR="00274649" w:rsidRPr="006C7708" w:rsidRDefault="00274649" w:rsidP="00E80CBC">
            <w:pPr>
              <w:shd w:val="solid" w:color="FFFFFF" w:fill="FFFFFF"/>
              <w:spacing w:line="240" w:lineRule="atLeast"/>
              <w:rPr>
                <w:rFonts w:ascii="Verdana" w:hAnsi="Verdana"/>
                <w:sz w:val="20"/>
                <w:lang w:eastAsia="zh-CN"/>
              </w:rPr>
            </w:pPr>
            <w:r w:rsidRPr="006C7708">
              <w:rPr>
                <w:rFonts w:ascii="Verdana" w:hAnsi="Verdana"/>
                <w:b/>
                <w:sz w:val="20"/>
                <w:lang w:eastAsia="zh-CN"/>
              </w:rPr>
              <w:t>Document 1A________</w:t>
            </w:r>
          </w:p>
        </w:tc>
      </w:tr>
      <w:tr w:rsidR="00274649" w:rsidRPr="006C7708" w14:paraId="03CFDC5E" w14:textId="77777777" w:rsidTr="00E80CBC">
        <w:trPr>
          <w:cantSplit/>
        </w:trPr>
        <w:tc>
          <w:tcPr>
            <w:tcW w:w="6487" w:type="dxa"/>
            <w:vMerge/>
          </w:tcPr>
          <w:p w14:paraId="654F6D60" w14:textId="77777777" w:rsidR="00274649" w:rsidRPr="006C7708" w:rsidRDefault="00274649" w:rsidP="00E80CBC">
            <w:pPr>
              <w:spacing w:before="60"/>
              <w:jc w:val="center"/>
              <w:rPr>
                <w:b/>
                <w:smallCaps/>
                <w:sz w:val="32"/>
                <w:lang w:eastAsia="zh-CN"/>
              </w:rPr>
            </w:pPr>
          </w:p>
        </w:tc>
        <w:tc>
          <w:tcPr>
            <w:tcW w:w="3402" w:type="dxa"/>
          </w:tcPr>
          <w:p w14:paraId="3323E9DF" w14:textId="77777777" w:rsidR="00274649" w:rsidRPr="006C7708" w:rsidRDefault="00274649" w:rsidP="00E80CBC">
            <w:pPr>
              <w:shd w:val="solid" w:color="FFFFFF" w:fill="FFFFFF"/>
              <w:spacing w:line="240" w:lineRule="atLeast"/>
              <w:rPr>
                <w:rFonts w:ascii="Verdana" w:hAnsi="Verdana"/>
                <w:sz w:val="20"/>
                <w:lang w:eastAsia="zh-CN"/>
              </w:rPr>
            </w:pPr>
            <w:r w:rsidRPr="006C7708">
              <w:rPr>
                <w:rFonts w:ascii="Verdana" w:hAnsi="Verdana"/>
                <w:b/>
                <w:sz w:val="20"/>
                <w:lang w:eastAsia="zh-CN"/>
              </w:rPr>
              <w:t>________ 2020</w:t>
            </w:r>
          </w:p>
        </w:tc>
      </w:tr>
      <w:tr w:rsidR="00274649" w:rsidRPr="006C7708" w14:paraId="7CF4B85B" w14:textId="77777777" w:rsidTr="00E80CBC">
        <w:trPr>
          <w:cantSplit/>
        </w:trPr>
        <w:tc>
          <w:tcPr>
            <w:tcW w:w="6487" w:type="dxa"/>
            <w:vMerge/>
          </w:tcPr>
          <w:p w14:paraId="5845B925" w14:textId="77777777" w:rsidR="00274649" w:rsidRPr="006C7708" w:rsidRDefault="00274649" w:rsidP="00E80CBC">
            <w:pPr>
              <w:spacing w:before="60"/>
              <w:jc w:val="center"/>
              <w:rPr>
                <w:b/>
                <w:smallCaps/>
                <w:sz w:val="32"/>
                <w:lang w:eastAsia="zh-CN"/>
              </w:rPr>
            </w:pPr>
          </w:p>
        </w:tc>
        <w:tc>
          <w:tcPr>
            <w:tcW w:w="3402" w:type="dxa"/>
          </w:tcPr>
          <w:p w14:paraId="05DCA6B9" w14:textId="77777777" w:rsidR="00274649" w:rsidRPr="006C7708" w:rsidRDefault="00274649" w:rsidP="00E80CBC">
            <w:pPr>
              <w:shd w:val="solid" w:color="FFFFFF" w:fill="FFFFFF"/>
              <w:spacing w:line="240" w:lineRule="atLeast"/>
              <w:rPr>
                <w:rFonts w:ascii="Verdana" w:eastAsia="SimSun" w:hAnsi="Verdana"/>
                <w:sz w:val="20"/>
                <w:lang w:eastAsia="zh-CN"/>
              </w:rPr>
            </w:pPr>
            <w:r w:rsidRPr="006C7708">
              <w:rPr>
                <w:rFonts w:ascii="Verdana" w:eastAsia="SimSun" w:hAnsi="Verdana"/>
                <w:b/>
                <w:sz w:val="20"/>
                <w:lang w:eastAsia="zh-CN"/>
              </w:rPr>
              <w:t>English only</w:t>
            </w:r>
          </w:p>
        </w:tc>
      </w:tr>
      <w:tr w:rsidR="00274649" w:rsidRPr="006C7708" w14:paraId="78D880BD" w14:textId="77777777" w:rsidTr="00E80CBC">
        <w:trPr>
          <w:cantSplit/>
        </w:trPr>
        <w:tc>
          <w:tcPr>
            <w:tcW w:w="9889" w:type="dxa"/>
            <w:gridSpan w:val="2"/>
          </w:tcPr>
          <w:p w14:paraId="53518141" w14:textId="77777777" w:rsidR="00274649" w:rsidRPr="006C7708" w:rsidRDefault="00274649" w:rsidP="00E80CBC">
            <w:pPr>
              <w:tabs>
                <w:tab w:val="left" w:pos="1134"/>
                <w:tab w:val="left" w:pos="1871"/>
                <w:tab w:val="left" w:pos="2268"/>
              </w:tabs>
              <w:overflowPunct w:val="0"/>
              <w:autoSpaceDE w:val="0"/>
              <w:autoSpaceDN w:val="0"/>
              <w:adjustRightInd w:val="0"/>
              <w:spacing w:before="840"/>
              <w:jc w:val="center"/>
              <w:textAlignment w:val="baseline"/>
              <w:rPr>
                <w:b/>
                <w:sz w:val="28"/>
                <w:szCs w:val="20"/>
                <w:lang w:val="en-GB" w:eastAsia="zh-CN"/>
              </w:rPr>
            </w:pPr>
            <w:r w:rsidRPr="006C7708">
              <w:rPr>
                <w:b/>
                <w:sz w:val="28"/>
                <w:szCs w:val="20"/>
                <w:lang w:val="en-GB" w:eastAsia="zh-CN"/>
              </w:rPr>
              <w:t>Working Party 1A</w:t>
            </w:r>
          </w:p>
        </w:tc>
      </w:tr>
      <w:tr w:rsidR="00274649" w:rsidRPr="006C7708" w14:paraId="55E1831E" w14:textId="77777777" w:rsidTr="00E80CBC">
        <w:trPr>
          <w:cantSplit/>
        </w:trPr>
        <w:tc>
          <w:tcPr>
            <w:tcW w:w="9889" w:type="dxa"/>
            <w:gridSpan w:val="2"/>
          </w:tcPr>
          <w:p w14:paraId="24CFC29B" w14:textId="77777777" w:rsidR="00274649" w:rsidRPr="006C7708" w:rsidRDefault="00274649" w:rsidP="00E80CBC">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r w:rsidRPr="006C7708">
              <w:rPr>
                <w:caps/>
                <w:sz w:val="28"/>
                <w:szCs w:val="20"/>
                <w:lang w:val="en-GB" w:eastAsia="zh-CN"/>
              </w:rPr>
              <w:t xml:space="preserve">DRAFT LIAISON STATEMENT TO Working PartIES 5A, 5C, 7B, 7C, </w:t>
            </w:r>
            <w:r>
              <w:rPr>
                <w:caps/>
                <w:sz w:val="28"/>
                <w:szCs w:val="20"/>
                <w:lang w:val="en-GB" w:eastAsia="zh-CN"/>
              </w:rPr>
              <w:t xml:space="preserve">AND </w:t>
            </w:r>
            <w:proofErr w:type="gramStart"/>
            <w:r w:rsidRPr="006C7708">
              <w:rPr>
                <w:caps/>
                <w:sz w:val="28"/>
                <w:szCs w:val="20"/>
                <w:lang w:val="en-GB" w:eastAsia="zh-CN"/>
              </w:rPr>
              <w:t>7D</w:t>
            </w:r>
            <w:proofErr w:type="gramEnd"/>
            <w:r w:rsidRPr="006C7708">
              <w:rPr>
                <w:caps/>
                <w:sz w:val="28"/>
                <w:szCs w:val="20"/>
                <w:lang w:val="en-GB" w:eastAsia="zh-CN"/>
              </w:rPr>
              <w:t xml:space="preserve"> </w:t>
            </w:r>
          </w:p>
          <w:p w14:paraId="51697605" w14:textId="77777777" w:rsidR="00274649" w:rsidRPr="006C7708" w:rsidRDefault="00274649" w:rsidP="00E80CBC">
            <w:pPr>
              <w:jc w:val="center"/>
              <w:rPr>
                <w:lang w:eastAsia="zh-CN"/>
              </w:rPr>
            </w:pPr>
          </w:p>
        </w:tc>
      </w:tr>
      <w:tr w:rsidR="00274649" w:rsidRPr="006C7708" w14:paraId="2F9FD10E" w14:textId="77777777" w:rsidTr="00E80CBC">
        <w:trPr>
          <w:cantSplit/>
        </w:trPr>
        <w:tc>
          <w:tcPr>
            <w:tcW w:w="9889" w:type="dxa"/>
            <w:gridSpan w:val="2"/>
          </w:tcPr>
          <w:p w14:paraId="477005EB" w14:textId="624E2BFB" w:rsidR="00274649" w:rsidRPr="006C7708" w:rsidRDefault="00274649" w:rsidP="00E80CBC">
            <w:pPr>
              <w:tabs>
                <w:tab w:val="left" w:pos="1134"/>
                <w:tab w:val="left" w:pos="1871"/>
                <w:tab w:val="left" w:pos="2268"/>
              </w:tabs>
              <w:spacing w:before="240"/>
              <w:jc w:val="center"/>
              <w:rPr>
                <w:b/>
                <w:sz w:val="28"/>
                <w:szCs w:val="20"/>
                <w:lang w:val="en-GB" w:eastAsia="zh-CN"/>
              </w:rPr>
            </w:pPr>
            <w:r w:rsidRPr="006C7708">
              <w:rPr>
                <w:b/>
                <w:sz w:val="28"/>
                <w:szCs w:val="20"/>
                <w:lang w:val="en-GB" w:eastAsia="zh-CN"/>
              </w:rPr>
              <w:t>Proposal to initiate work under Resolution 731 (Rev.  WRC-</w:t>
            </w:r>
            <w:r w:rsidR="00C52212">
              <w:rPr>
                <w:b/>
                <w:sz w:val="28"/>
                <w:szCs w:val="20"/>
                <w:lang w:val="en-GB" w:eastAsia="zh-CN"/>
              </w:rPr>
              <w:t>23</w:t>
            </w:r>
            <w:r w:rsidRPr="006C7708">
              <w:rPr>
                <w:b/>
                <w:sz w:val="28"/>
                <w:szCs w:val="20"/>
                <w:lang w:val="en-GB" w:eastAsia="zh-CN"/>
              </w:rPr>
              <w:t>)</w:t>
            </w:r>
          </w:p>
        </w:tc>
      </w:tr>
    </w:tbl>
    <w:p w14:paraId="39CE0155" w14:textId="77777777" w:rsidR="00F9703D" w:rsidRDefault="00274649" w:rsidP="00274649">
      <w:pPr>
        <w:keepNext/>
        <w:keepLines/>
        <w:spacing w:before="120"/>
        <w:rPr>
          <w:bCs/>
        </w:rPr>
      </w:pPr>
      <w:r w:rsidRPr="006C7708">
        <w:rPr>
          <w:bCs/>
        </w:rPr>
        <w:t xml:space="preserve">In accordance with </w:t>
      </w:r>
      <w:r w:rsidRPr="006C7708">
        <w:rPr>
          <w:bCs/>
          <w:i/>
        </w:rPr>
        <w:t>invites the ITU-R 1</w:t>
      </w:r>
      <w:r w:rsidRPr="006C7708">
        <w:rPr>
          <w:bCs/>
        </w:rPr>
        <w:t xml:space="preserve"> of Resolution </w:t>
      </w:r>
      <w:r w:rsidRPr="006C7708">
        <w:rPr>
          <w:b/>
          <w:bCs/>
        </w:rPr>
        <w:t>731 (Rev. WRC-</w:t>
      </w:r>
      <w:r w:rsidR="00C52212">
        <w:rPr>
          <w:b/>
          <w:bCs/>
        </w:rPr>
        <w:t>23</w:t>
      </w:r>
      <w:r w:rsidRPr="006C7708">
        <w:rPr>
          <w:b/>
          <w:bCs/>
        </w:rPr>
        <w:t>)</w:t>
      </w:r>
      <w:r w:rsidRPr="006C7708">
        <w:rPr>
          <w:bCs/>
        </w:rPr>
        <w:t xml:space="preserve">, Working Party (WP) 1A is developing a framework for studies to determine if, and under what conditions, sharing is </w:t>
      </w:r>
      <w:r w:rsidR="00F9703D">
        <w:rPr>
          <w:bCs/>
        </w:rPr>
        <w:t>p</w:t>
      </w:r>
      <w:r w:rsidRPr="006C7708">
        <w:rPr>
          <w:bCs/>
        </w:rPr>
        <w:t>ossible between active and passive services in bands above 71 GHz</w:t>
      </w:r>
      <w:r w:rsidR="00F9703D">
        <w:rPr>
          <w:bCs/>
        </w:rPr>
        <w:t xml:space="preserve"> and policy options for burden sharing that is cited in the resolution</w:t>
      </w:r>
      <w:r w:rsidRPr="006C7708">
        <w:rPr>
          <w:bCs/>
        </w:rPr>
        <w:t xml:space="preserve">. </w:t>
      </w:r>
    </w:p>
    <w:p w14:paraId="786A490E" w14:textId="319BD7E2" w:rsidR="00F9703D" w:rsidRDefault="00F9703D" w:rsidP="00274649">
      <w:pPr>
        <w:keepNext/>
        <w:keepLines/>
        <w:spacing w:before="120"/>
        <w:rPr>
          <w:bCs/>
        </w:rPr>
      </w:pPr>
      <w:r>
        <w:rPr>
          <w:bCs/>
        </w:rPr>
        <w:t>Uncertainties about possible approaches to burden sharing discourage research into technical options.  A few technical options that involve burden sharing have been proposed in the technical literature and these could be good examples to clarify how consideration of burden sharing could be handled.</w:t>
      </w:r>
    </w:p>
    <w:p w14:paraId="2123C0E8" w14:textId="419CD0BC" w:rsidR="00274649" w:rsidRPr="006C7708" w:rsidRDefault="00274649" w:rsidP="00274649">
      <w:pPr>
        <w:keepNext/>
        <w:keepLines/>
        <w:spacing w:before="120"/>
        <w:rPr>
          <w:bCs/>
        </w:rPr>
      </w:pPr>
      <w:r w:rsidRPr="006C7708">
        <w:rPr>
          <w:bCs/>
        </w:rPr>
        <w:t>As such, WP 1A would appreciate receiving from the WPs 5A, 5C, 7B, 7C and 7D regarding any feedback on the development of such a framework, including any technical information on emerging technologies that are being planned to operate in these frequency bands</w:t>
      </w:r>
      <w:r w:rsidR="00F9703D">
        <w:rPr>
          <w:bCs/>
        </w:rPr>
        <w:t xml:space="preserve"> and any viewpoints on how burden sharing approaches should be </w:t>
      </w:r>
      <w:proofErr w:type="gramStart"/>
      <w:r w:rsidR="00F9703D">
        <w:rPr>
          <w:bCs/>
        </w:rPr>
        <w:t>considered.</w:t>
      </w:r>
      <w:r w:rsidRPr="006C7708">
        <w:rPr>
          <w:bCs/>
        </w:rPr>
        <w:t>.</w:t>
      </w:r>
      <w:proofErr w:type="gramEnd"/>
      <w:r w:rsidRPr="006C7708">
        <w:rPr>
          <w:bCs/>
        </w:rPr>
        <w:t xml:space="preserve"> </w:t>
      </w:r>
    </w:p>
    <w:p w14:paraId="73AC4E4F" w14:textId="77777777" w:rsidR="00274649" w:rsidRPr="006C7708" w:rsidRDefault="00274649" w:rsidP="00274649">
      <w:pPr>
        <w:keepNext/>
        <w:keepLines/>
        <w:spacing w:before="120"/>
        <w:rPr>
          <w:bCs/>
        </w:rPr>
      </w:pPr>
      <w:proofErr w:type="gramStart"/>
      <w:r w:rsidRPr="006C7708">
        <w:rPr>
          <w:bCs/>
        </w:rPr>
        <w:t>In order to</w:t>
      </w:r>
      <w:proofErr w:type="gramEnd"/>
      <w:r w:rsidRPr="006C7708">
        <w:rPr>
          <w:bCs/>
        </w:rPr>
        <w:t xml:space="preserve"> avoid any overlap with existing work, WP1A would also appreciate learning of any on-going studies within the working parties related to this topic.</w:t>
      </w:r>
    </w:p>
    <w:p w14:paraId="34451839" w14:textId="72B5D360" w:rsidR="00274649" w:rsidRPr="006C7708" w:rsidRDefault="00274649" w:rsidP="00274649">
      <w:pPr>
        <w:keepNext/>
        <w:keepLines/>
        <w:spacing w:before="120"/>
        <w:rPr>
          <w:bCs/>
        </w:rPr>
      </w:pPr>
      <w:r w:rsidRPr="006C7708">
        <w:rPr>
          <w:bCs/>
        </w:rPr>
        <w:t xml:space="preserve">The working parties are kindly invited to respond in a timely manner, preferably before the deadline of </w:t>
      </w:r>
      <w:r w:rsidR="00C52212">
        <w:rPr>
          <w:bCs/>
        </w:rPr>
        <w:t>______________</w:t>
      </w:r>
      <w:r w:rsidRPr="006C7708">
        <w:rPr>
          <w:bCs/>
        </w:rPr>
        <w:t>.</w:t>
      </w:r>
    </w:p>
    <w:p w14:paraId="59BF0F5C" w14:textId="77777777" w:rsidR="00274649" w:rsidRPr="006C7708" w:rsidRDefault="00274649" w:rsidP="00274649">
      <w:pPr>
        <w:spacing w:before="120"/>
        <w:rPr>
          <w:bCs/>
          <w:lang w:eastAsia="ja-JP"/>
        </w:rPr>
      </w:pPr>
    </w:p>
    <w:tbl>
      <w:tblPr>
        <w:tblW w:w="10260" w:type="dxa"/>
        <w:tblLayout w:type="fixed"/>
        <w:tblLook w:val="0000" w:firstRow="0" w:lastRow="0" w:firstColumn="0" w:lastColumn="0" w:noHBand="0" w:noVBand="0"/>
      </w:tblPr>
      <w:tblGrid>
        <w:gridCol w:w="1260"/>
        <w:gridCol w:w="4410"/>
        <w:gridCol w:w="1080"/>
        <w:gridCol w:w="3510"/>
      </w:tblGrid>
      <w:tr w:rsidR="00274649" w:rsidRPr="006C7708" w14:paraId="32C2E00D" w14:textId="77777777" w:rsidTr="00E80CBC">
        <w:trPr>
          <w:cantSplit/>
        </w:trPr>
        <w:tc>
          <w:tcPr>
            <w:tcW w:w="1260" w:type="dxa"/>
          </w:tcPr>
          <w:p w14:paraId="11BD0F4C" w14:textId="77777777" w:rsidR="00274649" w:rsidRPr="006C7708" w:rsidRDefault="00274649" w:rsidP="00E80CBC">
            <w:pPr>
              <w:keepNext/>
              <w:keepLines/>
              <w:rPr>
                <w:b/>
              </w:rPr>
            </w:pPr>
            <w:r w:rsidRPr="006C7708">
              <w:rPr>
                <w:b/>
              </w:rPr>
              <w:t>Status:</w:t>
            </w:r>
          </w:p>
        </w:tc>
        <w:tc>
          <w:tcPr>
            <w:tcW w:w="4410" w:type="dxa"/>
          </w:tcPr>
          <w:p w14:paraId="1D00860B" w14:textId="77777777" w:rsidR="00274649" w:rsidRPr="006C7708" w:rsidRDefault="00274649" w:rsidP="00E80CBC">
            <w:pPr>
              <w:keepNext/>
              <w:keepLines/>
              <w:tabs>
                <w:tab w:val="left" w:pos="709"/>
              </w:tabs>
            </w:pPr>
            <w:r w:rsidRPr="006C7708">
              <w:t>For action.</w:t>
            </w:r>
          </w:p>
        </w:tc>
        <w:tc>
          <w:tcPr>
            <w:tcW w:w="4590" w:type="dxa"/>
            <w:gridSpan w:val="2"/>
          </w:tcPr>
          <w:p w14:paraId="382306A6" w14:textId="77777777" w:rsidR="00274649" w:rsidRPr="006C7708" w:rsidRDefault="00274649" w:rsidP="00E80CBC">
            <w:pPr>
              <w:keepNext/>
              <w:keepLines/>
              <w:tabs>
                <w:tab w:val="left" w:pos="709"/>
              </w:tabs>
            </w:pPr>
          </w:p>
        </w:tc>
      </w:tr>
      <w:tr w:rsidR="00274649" w:rsidRPr="006C7708" w14:paraId="4022BC00" w14:textId="77777777" w:rsidTr="00E80CBC">
        <w:trPr>
          <w:cantSplit/>
        </w:trPr>
        <w:tc>
          <w:tcPr>
            <w:tcW w:w="1260" w:type="dxa"/>
          </w:tcPr>
          <w:p w14:paraId="791A3314" w14:textId="77777777" w:rsidR="00274649" w:rsidRPr="006C7708" w:rsidRDefault="00274649" w:rsidP="00E80CBC">
            <w:pPr>
              <w:keepNext/>
              <w:keepLines/>
              <w:rPr>
                <w:b/>
              </w:rPr>
            </w:pPr>
            <w:r w:rsidRPr="006C7708">
              <w:rPr>
                <w:b/>
              </w:rPr>
              <w:t>Deadline:</w:t>
            </w:r>
          </w:p>
        </w:tc>
        <w:tc>
          <w:tcPr>
            <w:tcW w:w="4410" w:type="dxa"/>
          </w:tcPr>
          <w:p w14:paraId="7D2676BB" w14:textId="6AC98CA3" w:rsidR="00274649" w:rsidRPr="006C7708" w:rsidRDefault="00C52212" w:rsidP="00E80CBC">
            <w:pPr>
              <w:keepNext/>
              <w:keepLines/>
              <w:tabs>
                <w:tab w:val="left" w:pos="709"/>
              </w:tabs>
            </w:pPr>
            <w:r>
              <w:t>__________</w:t>
            </w:r>
          </w:p>
        </w:tc>
        <w:tc>
          <w:tcPr>
            <w:tcW w:w="4590" w:type="dxa"/>
            <w:gridSpan w:val="2"/>
          </w:tcPr>
          <w:p w14:paraId="47A5D680" w14:textId="77777777" w:rsidR="00274649" w:rsidRPr="006C7708" w:rsidRDefault="00274649" w:rsidP="00E80CBC">
            <w:pPr>
              <w:keepNext/>
              <w:keepLines/>
              <w:tabs>
                <w:tab w:val="left" w:pos="709"/>
              </w:tabs>
            </w:pPr>
          </w:p>
        </w:tc>
      </w:tr>
      <w:tr w:rsidR="00274649" w:rsidRPr="006C7708" w14:paraId="26376676" w14:textId="77777777" w:rsidTr="00E80CBC">
        <w:trPr>
          <w:cantSplit/>
          <w:trHeight w:val="270"/>
        </w:trPr>
        <w:tc>
          <w:tcPr>
            <w:tcW w:w="1260" w:type="dxa"/>
          </w:tcPr>
          <w:p w14:paraId="0F931B21" w14:textId="77777777" w:rsidR="00274649" w:rsidRPr="006C7708" w:rsidRDefault="00274649" w:rsidP="00E80CBC">
            <w:pPr>
              <w:keepNext/>
              <w:keepLines/>
              <w:rPr>
                <w:b/>
              </w:rPr>
            </w:pPr>
            <w:r w:rsidRPr="006C7708">
              <w:rPr>
                <w:b/>
              </w:rPr>
              <w:t>Contact:</w:t>
            </w:r>
          </w:p>
        </w:tc>
        <w:tc>
          <w:tcPr>
            <w:tcW w:w="4410" w:type="dxa"/>
          </w:tcPr>
          <w:p w14:paraId="19846D46" w14:textId="77777777" w:rsidR="00274649" w:rsidRPr="006C7708" w:rsidRDefault="00274649" w:rsidP="00E80CBC">
            <w:pPr>
              <w:keepNext/>
              <w:keepLines/>
              <w:tabs>
                <w:tab w:val="center" w:pos="7230"/>
              </w:tabs>
            </w:pPr>
          </w:p>
        </w:tc>
        <w:tc>
          <w:tcPr>
            <w:tcW w:w="1080" w:type="dxa"/>
          </w:tcPr>
          <w:p w14:paraId="0860D752" w14:textId="77777777" w:rsidR="00274649" w:rsidRPr="006C7708" w:rsidRDefault="00274649" w:rsidP="00E80CBC">
            <w:pPr>
              <w:keepNext/>
              <w:keepLines/>
              <w:tabs>
                <w:tab w:val="left" w:pos="884"/>
              </w:tabs>
              <w:rPr>
                <w:b/>
                <w:bCs/>
              </w:rPr>
            </w:pPr>
            <w:r w:rsidRPr="006C7708">
              <w:rPr>
                <w:b/>
                <w:bCs/>
              </w:rPr>
              <w:t>E-mail</w:t>
            </w:r>
            <w:r w:rsidRPr="006C7708">
              <w:t>:</w:t>
            </w:r>
          </w:p>
        </w:tc>
        <w:tc>
          <w:tcPr>
            <w:tcW w:w="3510" w:type="dxa"/>
          </w:tcPr>
          <w:p w14:paraId="063123CF" w14:textId="77777777" w:rsidR="00274649" w:rsidRPr="006C7708" w:rsidRDefault="00274649" w:rsidP="00E80CBC">
            <w:pPr>
              <w:keepNext/>
              <w:keepLines/>
              <w:tabs>
                <w:tab w:val="left" w:pos="884"/>
              </w:tabs>
            </w:pPr>
          </w:p>
        </w:tc>
      </w:tr>
    </w:tbl>
    <w:p w14:paraId="3662816D" w14:textId="77777777" w:rsidR="00274649" w:rsidRPr="006C7708" w:rsidRDefault="00274649" w:rsidP="00274649">
      <w:pPr>
        <w:rPr>
          <w:bCs/>
          <w:lang w:eastAsia="ja-JP"/>
        </w:rPr>
      </w:pPr>
    </w:p>
    <w:p w14:paraId="7C0C1427" w14:textId="77777777" w:rsidR="00274649" w:rsidRPr="006C7708" w:rsidRDefault="00274649" w:rsidP="00274649">
      <w:pPr>
        <w:rPr>
          <w:bCs/>
          <w:lang w:eastAsia="ja-JP"/>
        </w:rPr>
      </w:pPr>
    </w:p>
    <w:p w14:paraId="0CDE9D62" w14:textId="74A364A0" w:rsidR="00AF0AA9" w:rsidRDefault="00AF0AA9"/>
    <w:sectPr w:rsidR="00AF0A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241AA" w14:textId="77777777" w:rsidR="00A47FE8" w:rsidRDefault="00A47FE8" w:rsidP="00D73705">
      <w:r>
        <w:separator/>
      </w:r>
    </w:p>
  </w:endnote>
  <w:endnote w:type="continuationSeparator" w:id="0">
    <w:p w14:paraId="0E9F6A7D" w14:textId="77777777" w:rsidR="00A47FE8" w:rsidRDefault="00A47FE8"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6637C" w14:textId="77777777" w:rsidR="00A47FE8" w:rsidRDefault="00A47FE8" w:rsidP="00D73705">
      <w:r>
        <w:separator/>
      </w:r>
    </w:p>
  </w:footnote>
  <w:footnote w:type="continuationSeparator" w:id="0">
    <w:p w14:paraId="15943C89" w14:textId="77777777" w:rsidR="00A47FE8" w:rsidRDefault="00A47FE8" w:rsidP="00D73705">
      <w:r>
        <w:continuationSeparator/>
      </w:r>
    </w:p>
  </w:footnote>
  <w:footnote w:id="1">
    <w:p w14:paraId="04803E06" w14:textId="56176D76" w:rsidR="00274649" w:rsidRPr="0065335C" w:rsidRDefault="00274649" w:rsidP="00274649">
      <w:pPr>
        <w:pStyle w:val="FootnoteText"/>
        <w:rPr>
          <w:rFonts w:ascii="Times New Roman" w:hAnsi="Times New Roman" w:cs="Times New Roman"/>
        </w:rPr>
      </w:pPr>
      <w:r w:rsidRPr="00C1496A">
        <w:rPr>
          <w:rStyle w:val="FootnoteReference"/>
          <w:rFonts w:ascii="Times New Roman" w:hAnsi="Times New Roman" w:cs="Times New Roman"/>
        </w:rPr>
        <w:footnoteRef/>
      </w:r>
      <w:r w:rsidRPr="00C1496A">
        <w:rPr>
          <w:rFonts w:ascii="Times New Roman" w:hAnsi="Times New Roman" w:cs="Times New Roman"/>
        </w:rPr>
        <w:t xml:space="preserve">   WRC Resolution </w:t>
      </w:r>
      <w:r w:rsidRPr="0065335C">
        <w:rPr>
          <w:rFonts w:ascii="Times New Roman" w:hAnsi="Times New Roman" w:cs="Times New Roman"/>
          <w:b/>
        </w:rPr>
        <w:t>731</w:t>
      </w:r>
      <w:r w:rsidRPr="00C1496A">
        <w:rPr>
          <w:rFonts w:ascii="Times New Roman" w:hAnsi="Times New Roman" w:cs="Times New Roman"/>
        </w:rPr>
        <w:t xml:space="preserve"> was first </w:t>
      </w:r>
      <w:r w:rsidR="00F9703D">
        <w:rPr>
          <w:rFonts w:ascii="Times New Roman" w:hAnsi="Times New Roman" w:cs="Times New Roman"/>
        </w:rPr>
        <w:t>adopted</w:t>
      </w:r>
      <w:r w:rsidRPr="00C1496A">
        <w:rPr>
          <w:rFonts w:ascii="Times New Roman" w:hAnsi="Times New Roman" w:cs="Times New Roman"/>
        </w:rPr>
        <w:t xml:space="preserve"> at WRC-2000 and include</w:t>
      </w:r>
      <w:r w:rsidR="00F9703D">
        <w:rPr>
          <w:rFonts w:ascii="Times New Roman" w:hAnsi="Times New Roman" w:cs="Times New Roman"/>
        </w:rPr>
        <w:t>d</w:t>
      </w:r>
      <w:r w:rsidRPr="00C1496A">
        <w:rPr>
          <w:rFonts w:ascii="Times New Roman" w:hAnsi="Times New Roman" w:cs="Times New Roman"/>
        </w:rPr>
        <w:t xml:space="preserve"> the </w:t>
      </w:r>
      <w:r w:rsidR="00755E68" w:rsidRPr="00755E68">
        <w:rPr>
          <w:rFonts w:ascii="Times New Roman" w:hAnsi="Times New Roman" w:cs="Times New Roman"/>
          <w:i/>
          <w:iCs/>
        </w:rPr>
        <w:t>recognizing b</w:t>
      </w:r>
      <w:r w:rsidR="00755E68">
        <w:rPr>
          <w:rFonts w:ascii="Times New Roman" w:hAnsi="Times New Roman" w:cs="Times New Roman"/>
        </w:rPr>
        <w:t xml:space="preserve"> and </w:t>
      </w:r>
      <w:r w:rsidRPr="0065335C">
        <w:rPr>
          <w:rFonts w:ascii="Times New Roman" w:hAnsi="Times New Roman" w:cs="Times New Roman"/>
          <w:i/>
        </w:rPr>
        <w:t xml:space="preserve">invites </w:t>
      </w:r>
      <w:r>
        <w:rPr>
          <w:rFonts w:ascii="Times New Roman" w:hAnsi="Times New Roman" w:cs="Times New Roman"/>
          <w:i/>
        </w:rPr>
        <w:t xml:space="preserve">the </w:t>
      </w:r>
      <w:r w:rsidRPr="0065335C">
        <w:rPr>
          <w:rFonts w:ascii="Times New Roman" w:hAnsi="Times New Roman" w:cs="Times New Roman"/>
          <w:i/>
        </w:rPr>
        <w:t>ITU-R 1</w:t>
      </w:r>
      <w:r w:rsidR="00755E68">
        <w:rPr>
          <w:rFonts w:ascii="Times New Roman" w:hAnsi="Times New Roman" w:cs="Times New Roman"/>
          <w:i/>
        </w:rPr>
        <w:t xml:space="preserve"> </w:t>
      </w:r>
      <w:r w:rsidR="00755E68">
        <w:rPr>
          <w:rFonts w:ascii="Times New Roman" w:hAnsi="Times New Roman" w:cs="Times New Roman"/>
          <w:iCs/>
        </w:rPr>
        <w:t xml:space="preserve">and </w:t>
      </w:r>
      <w:r w:rsidR="00CC439E">
        <w:rPr>
          <w:rFonts w:ascii="Times New Roman" w:hAnsi="Times New Roman" w:cs="Times New Roman"/>
          <w:i/>
        </w:rPr>
        <w:t>5</w:t>
      </w:r>
      <w:r w:rsidRPr="00C1496A">
        <w:rPr>
          <w:rFonts w:ascii="Times New Roman" w:hAnsi="Times New Roman" w:cs="Times New Roman"/>
        </w:rPr>
        <w:t xml:space="preserve"> </w:t>
      </w:r>
      <w:r w:rsidR="00755E68">
        <w:rPr>
          <w:rFonts w:ascii="Times New Roman" w:hAnsi="Times New Roman" w:cs="Times New Roman"/>
        </w:rPr>
        <w:t>cited</w:t>
      </w:r>
      <w:r w:rsidRPr="00C1496A">
        <w:rPr>
          <w:rFonts w:ascii="Times New Roman" w:hAnsi="Times New Roman" w:cs="Times New Roman"/>
        </w:rPr>
        <w:t>.  It was</w:t>
      </w:r>
      <w:r>
        <w:rPr>
          <w:rFonts w:ascii="Times New Roman" w:hAnsi="Times New Roman" w:cs="Times New Roman"/>
        </w:rPr>
        <w:t xml:space="preserve"> </w:t>
      </w:r>
      <w:r w:rsidRPr="00C1496A">
        <w:rPr>
          <w:rFonts w:ascii="Times New Roman" w:hAnsi="Times New Roman" w:cs="Times New Roman"/>
        </w:rPr>
        <w:t>revised at WRC-19</w:t>
      </w:r>
      <w:r w:rsidR="0023362D">
        <w:rPr>
          <w:rFonts w:ascii="Times New Roman" w:hAnsi="Times New Roman" w:cs="Times New Roman"/>
        </w:rPr>
        <w:t xml:space="preserve"> and at WRC-</w:t>
      </w:r>
      <w:proofErr w:type="gramStart"/>
      <w:r w:rsidR="0023362D">
        <w:rPr>
          <w:rFonts w:ascii="Times New Roman" w:hAnsi="Times New Roman" w:cs="Times New Roman"/>
        </w:rPr>
        <w:t xml:space="preserve">23 </w:t>
      </w:r>
      <w:r w:rsidRPr="00C1496A">
        <w:rPr>
          <w:rFonts w:ascii="Times New Roman" w:hAnsi="Times New Roman" w:cs="Times New Roman"/>
        </w:rPr>
        <w:t xml:space="preserve"> </w:t>
      </w:r>
      <w:r w:rsidR="0023362D">
        <w:rPr>
          <w:rFonts w:ascii="Times New Roman" w:hAnsi="Times New Roman" w:cs="Times New Roman"/>
        </w:rPr>
        <w:t>but</w:t>
      </w:r>
      <w:proofErr w:type="gramEnd"/>
      <w:r w:rsidR="0023362D">
        <w:rPr>
          <w:rFonts w:ascii="Times New Roman" w:hAnsi="Times New Roman" w:cs="Times New Roman"/>
        </w:rPr>
        <w:t xml:space="preserve"> these </w:t>
      </w:r>
      <w:r w:rsidR="00F9703D">
        <w:rPr>
          <w:rFonts w:ascii="Times New Roman" w:hAnsi="Times New Roman" w:cs="Times New Roman"/>
        </w:rPr>
        <w:t xml:space="preserve">parts </w:t>
      </w:r>
      <w:r w:rsidR="0023362D">
        <w:rPr>
          <w:rFonts w:ascii="Times New Roman" w:hAnsi="Times New Roman" w:cs="Times New Roman"/>
        </w:rPr>
        <w:t>have not been changed</w:t>
      </w:r>
      <w:r w:rsidR="00F9703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115FEB"/>
    <w:rsid w:val="00162B23"/>
    <w:rsid w:val="001700C5"/>
    <w:rsid w:val="0023362D"/>
    <w:rsid w:val="00274649"/>
    <w:rsid w:val="002A248F"/>
    <w:rsid w:val="002A63FD"/>
    <w:rsid w:val="0030432F"/>
    <w:rsid w:val="00377072"/>
    <w:rsid w:val="00434A34"/>
    <w:rsid w:val="004A162C"/>
    <w:rsid w:val="00526863"/>
    <w:rsid w:val="005555F3"/>
    <w:rsid w:val="00574101"/>
    <w:rsid w:val="005C4F9E"/>
    <w:rsid w:val="005E7E3E"/>
    <w:rsid w:val="006036CB"/>
    <w:rsid w:val="00654F3B"/>
    <w:rsid w:val="006769D1"/>
    <w:rsid w:val="006D17BF"/>
    <w:rsid w:val="00755E68"/>
    <w:rsid w:val="00764452"/>
    <w:rsid w:val="00790A03"/>
    <w:rsid w:val="00793747"/>
    <w:rsid w:val="00957E23"/>
    <w:rsid w:val="009B3075"/>
    <w:rsid w:val="009F2763"/>
    <w:rsid w:val="00A30D7E"/>
    <w:rsid w:val="00A47FE8"/>
    <w:rsid w:val="00A708D0"/>
    <w:rsid w:val="00AD3A3B"/>
    <w:rsid w:val="00AF0AA9"/>
    <w:rsid w:val="00B268C9"/>
    <w:rsid w:val="00B32241"/>
    <w:rsid w:val="00BD7E0A"/>
    <w:rsid w:val="00C52078"/>
    <w:rsid w:val="00C52212"/>
    <w:rsid w:val="00C727C0"/>
    <w:rsid w:val="00CC439E"/>
    <w:rsid w:val="00D40FA3"/>
    <w:rsid w:val="00D42BCA"/>
    <w:rsid w:val="00D61532"/>
    <w:rsid w:val="00D73705"/>
    <w:rsid w:val="00E375EA"/>
    <w:rsid w:val="00E658D1"/>
    <w:rsid w:val="00EC14DC"/>
    <w:rsid w:val="00F71FD4"/>
    <w:rsid w:val="00F9703D"/>
    <w:rsid w:val="00FC3F2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 w:type="paragraph" w:styleId="FootnoteText">
    <w:name w:val="footnote text"/>
    <w:basedOn w:val="Normal"/>
    <w:link w:val="FootnoteTextChar"/>
    <w:uiPriority w:val="99"/>
    <w:semiHidden/>
    <w:unhideWhenUsed/>
    <w:rsid w:val="0027464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74649"/>
    <w:rPr>
      <w:sz w:val="20"/>
      <w:szCs w:val="20"/>
    </w:rPr>
  </w:style>
  <w:style w:type="character" w:styleId="FootnoteReference">
    <w:name w:val="footnote reference"/>
    <w:basedOn w:val="DefaultParagraphFont"/>
    <w:uiPriority w:val="99"/>
    <w:semiHidden/>
    <w:unhideWhenUsed/>
    <w:rsid w:val="00274649"/>
    <w:rPr>
      <w:vertAlign w:val="superscript"/>
    </w:rPr>
  </w:style>
  <w:style w:type="character" w:customStyle="1" w:styleId="field-content">
    <w:name w:val="field-content"/>
    <w:basedOn w:val="DefaultParagraphFont"/>
    <w:rsid w:val="00F9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dms_ties/itu-r/md/23/wp1a/c/R23-WP1A-C-0006!!MSW-E.doc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itu.int/dms_pub/itu-r/opb/act/R-ACT-WRC.15-2023-PDF-E.pdf"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itu.int/dms_ties/itu-r/md/23/wp1a/c/R23-WP1A-C-0006!!MSW-E.docx"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Rev.3</cp:lastModifiedBy>
  <cp:revision>2</cp:revision>
  <dcterms:created xsi:type="dcterms:W3CDTF">2024-03-27T18:40:00Z</dcterms:created>
  <dcterms:modified xsi:type="dcterms:W3CDTF">2024-03-27T18:40:00Z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