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6F02" w14:textId="121CBCD3" w:rsidR="00392B01" w:rsidRPr="00E43DD7" w:rsidRDefault="00392B01" w:rsidP="00392B01">
      <w:pPr>
        <w:jc w:val="center"/>
      </w:pPr>
    </w:p>
    <w:tbl>
      <w:tblPr>
        <w:tblpPr w:leftFromText="180" w:rightFromText="180" w:vertAnchor="text" w:horzAnchor="margin" w:tblpY="106"/>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647895" w:rsidRPr="00E43DD7" w14:paraId="63DF2D84" w14:textId="77777777" w:rsidTr="0064789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8B4215" w14:textId="77777777" w:rsidR="00647895" w:rsidRPr="00E43DD7" w:rsidRDefault="00647895" w:rsidP="00647895">
            <w:pPr>
              <w:pStyle w:val="TabletitleBR"/>
              <w:keepNext w:val="0"/>
              <w:keepLines w:val="0"/>
              <w:tabs>
                <w:tab w:val="center" w:pos="4680"/>
              </w:tabs>
              <w:suppressAutoHyphens/>
              <w:spacing w:after="0"/>
              <w:rPr>
                <w:spacing w:val="-3"/>
                <w:szCs w:val="24"/>
              </w:rPr>
            </w:pPr>
            <w:r w:rsidRPr="00E43DD7">
              <w:rPr>
                <w:szCs w:val="24"/>
              </w:rPr>
              <w:br w:type="page"/>
            </w:r>
            <w:r w:rsidRPr="00E43DD7">
              <w:rPr>
                <w:spacing w:val="-3"/>
                <w:szCs w:val="24"/>
              </w:rPr>
              <w:t>U.S. Radiocommunications Sector</w:t>
            </w:r>
          </w:p>
          <w:p w14:paraId="5B72F2F3" w14:textId="77777777" w:rsidR="00647895" w:rsidRPr="00E43DD7" w:rsidRDefault="00647895" w:rsidP="00647895">
            <w:pPr>
              <w:pStyle w:val="TabletitleBR"/>
              <w:rPr>
                <w:spacing w:val="-3"/>
                <w:szCs w:val="24"/>
              </w:rPr>
            </w:pPr>
            <w:r w:rsidRPr="00E43DD7">
              <w:rPr>
                <w:spacing w:val="-3"/>
                <w:szCs w:val="24"/>
              </w:rPr>
              <w:t>Fact Sheet</w:t>
            </w:r>
          </w:p>
        </w:tc>
      </w:tr>
      <w:tr w:rsidR="00647895" w:rsidRPr="00E43DD7" w14:paraId="75E81090" w14:textId="77777777" w:rsidTr="00C948AD">
        <w:trPr>
          <w:trHeight w:val="946"/>
        </w:trPr>
        <w:tc>
          <w:tcPr>
            <w:tcW w:w="4567" w:type="dxa"/>
            <w:tcBorders>
              <w:left w:val="double" w:sz="6" w:space="0" w:color="auto"/>
            </w:tcBorders>
          </w:tcPr>
          <w:p w14:paraId="03E2079C" w14:textId="460D3A1D" w:rsidR="00F0685D" w:rsidRPr="00E43DD7" w:rsidRDefault="00647895" w:rsidP="00C948AD">
            <w:pPr>
              <w:spacing w:after="120"/>
              <w:ind w:right="144"/>
            </w:pPr>
            <w:r w:rsidRPr="00E43DD7">
              <w:rPr>
                <w:b/>
              </w:rPr>
              <w:t>Working Party:</w:t>
            </w:r>
            <w:r w:rsidRPr="00E43DD7">
              <w:t xml:space="preserve">  ITU-R WP 4</w:t>
            </w:r>
            <w:r w:rsidR="002863A5" w:rsidRPr="00E43DD7">
              <w:t>C</w:t>
            </w:r>
          </w:p>
        </w:tc>
        <w:tc>
          <w:tcPr>
            <w:tcW w:w="4826" w:type="dxa"/>
            <w:tcBorders>
              <w:right w:val="double" w:sz="6" w:space="0" w:color="auto"/>
            </w:tcBorders>
          </w:tcPr>
          <w:p w14:paraId="114A994E" w14:textId="406ABFC7" w:rsidR="00647895" w:rsidRPr="00E43DD7" w:rsidRDefault="00647895" w:rsidP="00647895">
            <w:pPr>
              <w:spacing w:after="120"/>
              <w:ind w:right="144"/>
            </w:pPr>
            <w:r w:rsidRPr="00E43DD7">
              <w:rPr>
                <w:b/>
              </w:rPr>
              <w:t>Document No:</w:t>
            </w:r>
            <w:r w:rsidRPr="00E43DD7">
              <w:t xml:space="preserve">  US4</w:t>
            </w:r>
            <w:r w:rsidR="00D61F42" w:rsidRPr="00E43DD7">
              <w:t>C</w:t>
            </w:r>
            <w:r w:rsidRPr="00E43DD7">
              <w:t>-</w:t>
            </w:r>
            <w:r w:rsidR="006F0D14" w:rsidRPr="00E43DD7">
              <w:t>09</w:t>
            </w:r>
          </w:p>
        </w:tc>
      </w:tr>
      <w:tr w:rsidR="00647895" w:rsidRPr="00E43DD7" w14:paraId="4709C7CF" w14:textId="77777777" w:rsidTr="00647895">
        <w:trPr>
          <w:trHeight w:val="378"/>
        </w:trPr>
        <w:tc>
          <w:tcPr>
            <w:tcW w:w="4567" w:type="dxa"/>
            <w:tcBorders>
              <w:left w:val="double" w:sz="6" w:space="0" w:color="auto"/>
            </w:tcBorders>
          </w:tcPr>
          <w:p w14:paraId="62D04C3C" w14:textId="253E2250" w:rsidR="00647895" w:rsidRPr="00E43DD7" w:rsidRDefault="00647895" w:rsidP="00647895">
            <w:pPr>
              <w:spacing w:after="120"/>
              <w:ind w:right="144"/>
            </w:pPr>
            <w:r w:rsidRPr="00E43DD7">
              <w:rPr>
                <w:b/>
              </w:rPr>
              <w:t xml:space="preserve">Ref:  </w:t>
            </w:r>
            <w:r w:rsidR="0026793D" w:rsidRPr="00E43DD7">
              <w:t>Resolution 249 (WRC-23)</w:t>
            </w:r>
          </w:p>
        </w:tc>
        <w:tc>
          <w:tcPr>
            <w:tcW w:w="4826" w:type="dxa"/>
            <w:tcBorders>
              <w:right w:val="double" w:sz="6" w:space="0" w:color="auto"/>
            </w:tcBorders>
          </w:tcPr>
          <w:p w14:paraId="6C099799" w14:textId="01CEA15D" w:rsidR="00647895" w:rsidRPr="00E43DD7" w:rsidRDefault="00647895" w:rsidP="00647895">
            <w:pPr>
              <w:tabs>
                <w:tab w:val="left" w:pos="162"/>
              </w:tabs>
              <w:spacing w:after="120"/>
              <w:ind w:right="144"/>
            </w:pPr>
            <w:r w:rsidRPr="00E43DD7">
              <w:rPr>
                <w:b/>
              </w:rPr>
              <w:t>Date:</w:t>
            </w:r>
            <w:r w:rsidRPr="00E43DD7">
              <w:t xml:space="preserve">  </w:t>
            </w:r>
            <w:r w:rsidR="00980DD5">
              <w:t>27</w:t>
            </w:r>
            <w:r w:rsidR="00A758DD" w:rsidRPr="00E43DD7">
              <w:t xml:space="preserve"> </w:t>
            </w:r>
            <w:r w:rsidR="00980DD5">
              <w:t>March</w:t>
            </w:r>
            <w:r w:rsidRPr="00E43DD7">
              <w:t xml:space="preserve"> 2024</w:t>
            </w:r>
          </w:p>
        </w:tc>
      </w:tr>
      <w:tr w:rsidR="00647895" w:rsidRPr="00E43DD7" w14:paraId="7728F6DA" w14:textId="77777777" w:rsidTr="00647895">
        <w:trPr>
          <w:trHeight w:val="459"/>
        </w:trPr>
        <w:tc>
          <w:tcPr>
            <w:tcW w:w="9393" w:type="dxa"/>
            <w:gridSpan w:val="2"/>
            <w:tcBorders>
              <w:left w:val="double" w:sz="6" w:space="0" w:color="auto"/>
              <w:right w:val="double" w:sz="6" w:space="0" w:color="auto"/>
            </w:tcBorders>
          </w:tcPr>
          <w:p w14:paraId="5D433A85" w14:textId="6E10E949" w:rsidR="00647895" w:rsidRPr="00E43DD7" w:rsidRDefault="00647895" w:rsidP="00647895">
            <w:pPr>
              <w:pStyle w:val="Heading2"/>
              <w:spacing w:before="0" w:after="120"/>
              <w:ind w:left="0" w:firstLine="0"/>
              <w:rPr>
                <w:b w:val="0"/>
                <w:szCs w:val="24"/>
                <w:lang w:eastAsia="zh-CN"/>
              </w:rPr>
            </w:pPr>
            <w:r w:rsidRPr="00E43DD7">
              <w:rPr>
                <w:bCs/>
                <w:szCs w:val="24"/>
              </w:rPr>
              <w:t xml:space="preserve">Document Title:  </w:t>
            </w:r>
            <w:bookmarkStart w:id="0" w:name="_Hlk162437043"/>
            <w:r w:rsidR="0026793D" w:rsidRPr="00E43DD7">
              <w:rPr>
                <w:b w:val="0"/>
                <w:szCs w:val="24"/>
                <w:lang w:eastAsia="zh-CN"/>
              </w:rPr>
              <w:t xml:space="preserve">Working Document </w:t>
            </w:r>
            <w:r w:rsidR="00C10334" w:rsidRPr="00E43DD7">
              <w:rPr>
                <w:b w:val="0"/>
                <w:szCs w:val="24"/>
                <w:lang w:eastAsia="zh-CN"/>
              </w:rPr>
              <w:t>Regarding WRC-27 Agenda Item 1.11</w:t>
            </w:r>
            <w:bookmarkEnd w:id="0"/>
          </w:p>
        </w:tc>
      </w:tr>
      <w:tr w:rsidR="00135491" w:rsidRPr="00E43DD7" w14:paraId="19204B51" w14:textId="77777777" w:rsidTr="00647895">
        <w:trPr>
          <w:trHeight w:val="1960"/>
        </w:trPr>
        <w:tc>
          <w:tcPr>
            <w:tcW w:w="4567" w:type="dxa"/>
            <w:tcBorders>
              <w:left w:val="double" w:sz="6" w:space="0" w:color="auto"/>
            </w:tcBorders>
          </w:tcPr>
          <w:p w14:paraId="4723FC51" w14:textId="77777777" w:rsidR="00135491" w:rsidRPr="00E43DD7" w:rsidRDefault="00135491" w:rsidP="00135491">
            <w:pPr>
              <w:spacing w:after="120"/>
              <w:ind w:right="144"/>
              <w:rPr>
                <w:b/>
              </w:rPr>
            </w:pPr>
            <w:r w:rsidRPr="00E43DD7">
              <w:rPr>
                <w:b/>
              </w:rPr>
              <w:t>Author(s)/Contributors(s):</w:t>
            </w:r>
          </w:p>
          <w:p w14:paraId="4A938777" w14:textId="77777777" w:rsidR="00135491" w:rsidRPr="00E43DD7" w:rsidRDefault="00135491" w:rsidP="00135491">
            <w:pPr>
              <w:ind w:left="144" w:right="144"/>
              <w:rPr>
                <w:bCs/>
                <w:iCs/>
              </w:rPr>
            </w:pPr>
            <w:r w:rsidRPr="00E43DD7">
              <w:rPr>
                <w:bCs/>
                <w:iCs/>
              </w:rPr>
              <w:t>Brennan Price</w:t>
            </w:r>
          </w:p>
          <w:p w14:paraId="18C0CA7B" w14:textId="77777777" w:rsidR="00135491" w:rsidRPr="00E43DD7" w:rsidRDefault="00135491" w:rsidP="00135491">
            <w:pPr>
              <w:ind w:left="144" w:right="144"/>
              <w:rPr>
                <w:bCs/>
                <w:iCs/>
              </w:rPr>
            </w:pPr>
            <w:r w:rsidRPr="00E43DD7">
              <w:rPr>
                <w:bCs/>
                <w:iCs/>
              </w:rPr>
              <w:t>Viasat</w:t>
            </w:r>
          </w:p>
          <w:p w14:paraId="19075928" w14:textId="77777777" w:rsidR="003939F8" w:rsidRPr="00E43DD7" w:rsidRDefault="003939F8" w:rsidP="003939F8">
            <w:pPr>
              <w:ind w:left="144" w:right="144"/>
              <w:rPr>
                <w:bCs/>
                <w:iCs/>
              </w:rPr>
            </w:pPr>
          </w:p>
          <w:p w14:paraId="04F2E7EC" w14:textId="7C79D4C0" w:rsidR="003939F8" w:rsidRPr="00E43DD7" w:rsidRDefault="003939F8" w:rsidP="003939F8">
            <w:pPr>
              <w:ind w:left="144" w:right="144"/>
              <w:rPr>
                <w:bCs/>
                <w:iCs/>
              </w:rPr>
            </w:pPr>
            <w:r w:rsidRPr="00E43DD7">
              <w:rPr>
                <w:bCs/>
                <w:iCs/>
              </w:rPr>
              <w:t>Tatiana Lawrence</w:t>
            </w:r>
          </w:p>
          <w:p w14:paraId="75B80400" w14:textId="233EDD61" w:rsidR="003939F8" w:rsidRPr="00E43DD7" w:rsidRDefault="003939F8" w:rsidP="003939F8">
            <w:pPr>
              <w:ind w:left="144" w:right="144"/>
              <w:rPr>
                <w:bCs/>
                <w:iCs/>
              </w:rPr>
            </w:pPr>
            <w:r w:rsidRPr="00E43DD7">
              <w:rPr>
                <w:bCs/>
                <w:iCs/>
              </w:rPr>
              <w:t>Iridium</w:t>
            </w:r>
          </w:p>
          <w:p w14:paraId="08BFE9AD" w14:textId="77777777" w:rsidR="003939F8" w:rsidRPr="00E43DD7" w:rsidRDefault="003939F8" w:rsidP="00135491">
            <w:pPr>
              <w:ind w:left="144" w:right="144"/>
              <w:rPr>
                <w:bCs/>
                <w:iCs/>
              </w:rPr>
            </w:pPr>
          </w:p>
          <w:p w14:paraId="12308511" w14:textId="01A742F2" w:rsidR="00135491" w:rsidRPr="00E43DD7" w:rsidRDefault="00135491" w:rsidP="00135491">
            <w:pPr>
              <w:ind w:left="144" w:right="144"/>
              <w:rPr>
                <w:bCs/>
                <w:iCs/>
              </w:rPr>
            </w:pPr>
            <w:r w:rsidRPr="00E43DD7">
              <w:rPr>
                <w:bCs/>
                <w:iCs/>
              </w:rPr>
              <w:t>Damon Ladson</w:t>
            </w:r>
          </w:p>
          <w:p w14:paraId="6A6D8A5B" w14:textId="77777777" w:rsidR="00135491" w:rsidRPr="00E43DD7" w:rsidRDefault="00135491" w:rsidP="00135491">
            <w:pPr>
              <w:ind w:left="144" w:right="144"/>
              <w:rPr>
                <w:bCs/>
                <w:iCs/>
              </w:rPr>
            </w:pPr>
            <w:r w:rsidRPr="00E43DD7">
              <w:rPr>
                <w:bCs/>
                <w:iCs/>
              </w:rPr>
              <w:t>HWG LLP for Iridium</w:t>
            </w:r>
          </w:p>
          <w:p w14:paraId="30AFEB4B" w14:textId="77777777" w:rsidR="00493A73" w:rsidRPr="00E43DD7" w:rsidRDefault="00493A73" w:rsidP="00135491">
            <w:pPr>
              <w:ind w:left="144" w:right="144"/>
              <w:rPr>
                <w:bCs/>
                <w:iCs/>
              </w:rPr>
            </w:pPr>
          </w:p>
          <w:p w14:paraId="764636BF" w14:textId="659877C8" w:rsidR="00493A73" w:rsidRPr="00E43DD7" w:rsidRDefault="00493A73" w:rsidP="00135491">
            <w:pPr>
              <w:ind w:left="144" w:right="144"/>
              <w:rPr>
                <w:bCs/>
                <w:iCs/>
              </w:rPr>
            </w:pPr>
            <w:r w:rsidRPr="00E43DD7">
              <w:rPr>
                <w:bCs/>
                <w:iCs/>
              </w:rPr>
              <w:t>Wayne Whyte</w:t>
            </w:r>
          </w:p>
          <w:p w14:paraId="7292D0FF" w14:textId="3DF846A3" w:rsidR="00493A73" w:rsidRPr="00E43DD7" w:rsidRDefault="001537E1" w:rsidP="00135491">
            <w:pPr>
              <w:ind w:left="144" w:right="144"/>
              <w:rPr>
                <w:bCs/>
                <w:iCs/>
              </w:rPr>
            </w:pPr>
            <w:r w:rsidRPr="00E43DD7">
              <w:rPr>
                <w:bCs/>
                <w:iCs/>
              </w:rPr>
              <w:t>Teltrium for NASA</w:t>
            </w:r>
          </w:p>
          <w:p w14:paraId="21DF57B7" w14:textId="09CDBD41" w:rsidR="00ED1934" w:rsidRPr="00E43DD7" w:rsidRDefault="00ED1934" w:rsidP="00ED1934">
            <w:pPr>
              <w:spacing w:after="120"/>
              <w:ind w:right="144"/>
              <w:rPr>
                <w:bCs/>
                <w:iCs/>
              </w:rPr>
            </w:pPr>
          </w:p>
          <w:p w14:paraId="3D2C8736" w14:textId="794CDABE" w:rsidR="00135491" w:rsidRPr="00E43DD7" w:rsidRDefault="00135491" w:rsidP="00135491">
            <w:pPr>
              <w:spacing w:after="120"/>
              <w:ind w:left="144" w:right="144"/>
              <w:rPr>
                <w:bCs/>
                <w:iCs/>
              </w:rPr>
            </w:pPr>
          </w:p>
        </w:tc>
        <w:tc>
          <w:tcPr>
            <w:tcW w:w="4826" w:type="dxa"/>
            <w:tcBorders>
              <w:right w:val="double" w:sz="6" w:space="0" w:color="auto"/>
            </w:tcBorders>
          </w:tcPr>
          <w:p w14:paraId="4A24AC2E" w14:textId="77777777" w:rsidR="00135491" w:rsidRPr="00E43DD7" w:rsidRDefault="00135491" w:rsidP="00135491">
            <w:pPr>
              <w:spacing w:after="120"/>
              <w:ind w:right="144"/>
              <w:rPr>
                <w:b/>
                <w:bCs/>
              </w:rPr>
            </w:pPr>
          </w:p>
          <w:p w14:paraId="7BEE35D3" w14:textId="77777777" w:rsidR="00135491" w:rsidRPr="00E43DD7" w:rsidRDefault="00135491" w:rsidP="00135491">
            <w:pPr>
              <w:ind w:right="144"/>
              <w:rPr>
                <w:bCs/>
              </w:rPr>
            </w:pPr>
            <w:r w:rsidRPr="00E43DD7">
              <w:rPr>
                <w:bCs/>
              </w:rPr>
              <w:t xml:space="preserve">Email:  </w:t>
            </w:r>
            <w:hyperlink r:id="rId8" w:history="1">
              <w:r w:rsidRPr="00E43DD7">
                <w:rPr>
                  <w:rStyle w:val="Hyperlink"/>
                  <w:bCs/>
                </w:rPr>
                <w:t>brennan.price@inmarsat.com</w:t>
              </w:r>
            </w:hyperlink>
            <w:r w:rsidRPr="00E43DD7">
              <w:rPr>
                <w:bCs/>
              </w:rPr>
              <w:t xml:space="preserve"> [sic]</w:t>
            </w:r>
            <w:r w:rsidRPr="00E43DD7">
              <w:rPr>
                <w:bCs/>
              </w:rPr>
              <w:br/>
              <w:t>Phone:  +1 703 223-3327</w:t>
            </w:r>
            <w:r w:rsidRPr="00E43DD7">
              <w:rPr>
                <w:bCs/>
              </w:rPr>
              <w:br/>
            </w:r>
          </w:p>
          <w:p w14:paraId="389780E2" w14:textId="5CE9230C" w:rsidR="00ED1934" w:rsidRPr="00E43DD7" w:rsidRDefault="00A737D2" w:rsidP="00135491">
            <w:pPr>
              <w:ind w:right="144"/>
              <w:rPr>
                <w:bCs/>
                <w:lang w:val="fr-FR"/>
              </w:rPr>
            </w:pPr>
            <w:proofErr w:type="gramStart"/>
            <w:r w:rsidRPr="00E43DD7">
              <w:rPr>
                <w:bCs/>
                <w:lang w:val="fr-FR"/>
              </w:rPr>
              <w:t>Email:</w:t>
            </w:r>
            <w:proofErr w:type="gramEnd"/>
            <w:r w:rsidRPr="00E43DD7">
              <w:rPr>
                <w:bCs/>
                <w:lang w:val="fr-FR"/>
              </w:rPr>
              <w:t xml:space="preserve">  </w:t>
            </w:r>
            <w:hyperlink r:id="rId9" w:history="1">
              <w:r w:rsidRPr="00E43DD7">
                <w:rPr>
                  <w:rStyle w:val="Hyperlink"/>
                  <w:bCs/>
                  <w:lang w:val="fr-FR"/>
                </w:rPr>
                <w:t>tatiana.lawrence@iridium.com</w:t>
              </w:r>
            </w:hyperlink>
            <w:r w:rsidRPr="00E43DD7">
              <w:rPr>
                <w:bCs/>
                <w:lang w:val="fr-FR"/>
              </w:rPr>
              <w:t xml:space="preserve"> </w:t>
            </w:r>
            <w:r w:rsidR="003939F8" w:rsidRPr="00E43DD7">
              <w:rPr>
                <w:bCs/>
                <w:lang w:val="fr-FR"/>
              </w:rPr>
              <w:br/>
              <w:t xml:space="preserve">Phone:  </w:t>
            </w:r>
            <w:r w:rsidR="00441282" w:rsidRPr="00E43DD7">
              <w:rPr>
                <w:bCs/>
                <w:lang w:val="fr-FR"/>
              </w:rPr>
              <w:t>+1 240 271-2751</w:t>
            </w:r>
          </w:p>
          <w:p w14:paraId="2F90CF36" w14:textId="77777777" w:rsidR="00ED1934" w:rsidRPr="00E43DD7" w:rsidRDefault="00ED1934" w:rsidP="00135491">
            <w:pPr>
              <w:ind w:right="144"/>
              <w:rPr>
                <w:bCs/>
                <w:lang w:val="fr-FR"/>
              </w:rPr>
            </w:pPr>
          </w:p>
          <w:p w14:paraId="7C93ED0A" w14:textId="77777777" w:rsidR="00135491" w:rsidRPr="00E43DD7" w:rsidRDefault="00135491" w:rsidP="00135491">
            <w:pPr>
              <w:ind w:right="144"/>
              <w:rPr>
                <w:bCs/>
                <w:lang w:val="fr-FR"/>
              </w:rPr>
            </w:pPr>
            <w:proofErr w:type="gramStart"/>
            <w:r w:rsidRPr="00E43DD7">
              <w:rPr>
                <w:bCs/>
                <w:lang w:val="fr-FR"/>
              </w:rPr>
              <w:t>Email:</w:t>
            </w:r>
            <w:proofErr w:type="gramEnd"/>
            <w:r w:rsidRPr="00E43DD7">
              <w:rPr>
                <w:bCs/>
                <w:lang w:val="fr-FR"/>
              </w:rPr>
              <w:t xml:space="preserve">  </w:t>
            </w:r>
            <w:hyperlink r:id="rId10" w:history="1">
              <w:r w:rsidRPr="00E43DD7">
                <w:rPr>
                  <w:rStyle w:val="Hyperlink"/>
                  <w:bCs/>
                  <w:lang w:val="fr-FR"/>
                </w:rPr>
                <w:t>dladson@hwglaw.com</w:t>
              </w:r>
            </w:hyperlink>
            <w:r w:rsidRPr="00E43DD7">
              <w:rPr>
                <w:bCs/>
                <w:lang w:val="fr-FR"/>
              </w:rPr>
              <w:t xml:space="preserve"> </w:t>
            </w:r>
            <w:r w:rsidRPr="00E43DD7">
              <w:rPr>
                <w:bCs/>
                <w:lang w:val="fr-FR"/>
              </w:rPr>
              <w:br/>
              <w:t>Phone:  +1 202 730-1315</w:t>
            </w:r>
          </w:p>
          <w:p w14:paraId="6D7E6BAD" w14:textId="77777777" w:rsidR="00201AEF" w:rsidRPr="00E43DD7" w:rsidRDefault="00201AEF" w:rsidP="00201AEF">
            <w:pPr>
              <w:ind w:right="144"/>
              <w:rPr>
                <w:bCs/>
                <w:lang w:val="fr-FR"/>
              </w:rPr>
            </w:pPr>
          </w:p>
          <w:p w14:paraId="25F5C1A3" w14:textId="2D6E58D1" w:rsidR="00201AEF" w:rsidRPr="00E43DD7" w:rsidRDefault="00201AEF" w:rsidP="00201AEF">
            <w:pPr>
              <w:ind w:right="144"/>
              <w:rPr>
                <w:bCs/>
                <w:lang w:val="fr-FR"/>
              </w:rPr>
            </w:pPr>
            <w:proofErr w:type="gramStart"/>
            <w:r w:rsidRPr="00E43DD7">
              <w:rPr>
                <w:bCs/>
                <w:lang w:val="fr-FR"/>
              </w:rPr>
              <w:t>Email:</w:t>
            </w:r>
            <w:proofErr w:type="gramEnd"/>
            <w:r w:rsidRPr="00E43DD7">
              <w:rPr>
                <w:bCs/>
                <w:lang w:val="fr-FR"/>
              </w:rPr>
              <w:t xml:space="preserve">  </w:t>
            </w:r>
            <w:hyperlink r:id="rId11" w:history="1">
              <w:r w:rsidR="00E72719" w:rsidRPr="00E43DD7">
                <w:rPr>
                  <w:rStyle w:val="Hyperlink"/>
                  <w:bCs/>
                  <w:lang w:val="fr-FR"/>
                </w:rPr>
                <w:t>wwhyte@teltrium.com</w:t>
              </w:r>
            </w:hyperlink>
            <w:r w:rsidRPr="00E43DD7">
              <w:rPr>
                <w:bCs/>
                <w:lang w:val="fr-FR"/>
              </w:rPr>
              <w:t xml:space="preserve"> </w:t>
            </w:r>
            <w:r w:rsidRPr="00E43DD7">
              <w:rPr>
                <w:bCs/>
                <w:lang w:val="fr-FR"/>
              </w:rPr>
              <w:br/>
              <w:t xml:space="preserve">Phone:  +1 </w:t>
            </w:r>
            <w:r w:rsidR="00E72719" w:rsidRPr="00E43DD7">
              <w:rPr>
                <w:bCs/>
                <w:lang w:val="fr-FR"/>
              </w:rPr>
              <w:t>202 448-5040 x809</w:t>
            </w:r>
          </w:p>
          <w:p w14:paraId="29A0CE8A" w14:textId="35A3F1C2" w:rsidR="00201AEF" w:rsidRPr="00E43DD7" w:rsidRDefault="00201AEF" w:rsidP="00135491">
            <w:pPr>
              <w:spacing w:after="120"/>
              <w:ind w:right="144"/>
              <w:rPr>
                <w:bCs/>
                <w:lang w:val="fr-FR"/>
              </w:rPr>
            </w:pPr>
          </w:p>
        </w:tc>
      </w:tr>
      <w:tr w:rsidR="00647895" w:rsidRPr="00E43DD7" w14:paraId="2CE92B9B" w14:textId="77777777" w:rsidTr="00647895">
        <w:trPr>
          <w:trHeight w:val="541"/>
        </w:trPr>
        <w:tc>
          <w:tcPr>
            <w:tcW w:w="9393" w:type="dxa"/>
            <w:gridSpan w:val="2"/>
            <w:tcBorders>
              <w:left w:val="double" w:sz="6" w:space="0" w:color="auto"/>
              <w:right w:val="double" w:sz="6" w:space="0" w:color="auto"/>
            </w:tcBorders>
          </w:tcPr>
          <w:p w14:paraId="06F62B56" w14:textId="7F765C26" w:rsidR="00731F24" w:rsidRPr="00E43DD7" w:rsidRDefault="00647895" w:rsidP="00647895">
            <w:pPr>
              <w:spacing w:after="120"/>
              <w:ind w:right="144"/>
              <w:rPr>
                <w:bCs/>
              </w:rPr>
            </w:pPr>
            <w:r w:rsidRPr="00E43DD7">
              <w:rPr>
                <w:b/>
              </w:rPr>
              <w:t>Purpose:</w:t>
            </w:r>
            <w:r w:rsidRPr="00E43DD7">
              <w:rPr>
                <w:bCs/>
              </w:rPr>
              <w:t xml:space="preserve">  </w:t>
            </w:r>
            <w:r w:rsidR="00BC0D03" w:rsidRPr="00E43DD7">
              <w:rPr>
                <w:bCs/>
              </w:rPr>
              <w:t>To initiate</w:t>
            </w:r>
            <w:r w:rsidR="007364A5" w:rsidRPr="00E43DD7">
              <w:rPr>
                <w:bCs/>
              </w:rPr>
              <w:t xml:space="preserve"> the studies called for under </w:t>
            </w:r>
            <w:r w:rsidR="00556CE7" w:rsidRPr="00E43DD7">
              <w:rPr>
                <w:bCs/>
                <w:i/>
                <w:iCs/>
              </w:rPr>
              <w:t>resolves to invite the ITU Radioc</w:t>
            </w:r>
            <w:r w:rsidR="00222AF0" w:rsidRPr="00E43DD7">
              <w:rPr>
                <w:bCs/>
                <w:i/>
                <w:iCs/>
              </w:rPr>
              <w:t>o</w:t>
            </w:r>
            <w:r w:rsidR="00556CE7" w:rsidRPr="00E43DD7">
              <w:rPr>
                <w:bCs/>
                <w:i/>
                <w:iCs/>
              </w:rPr>
              <w:t>mmunication Sector</w:t>
            </w:r>
            <w:r w:rsidR="00E23C33" w:rsidRPr="00E43DD7">
              <w:rPr>
                <w:bCs/>
              </w:rPr>
              <w:t xml:space="preserve"> 1, 2, and 3 of Resolution 249</w:t>
            </w:r>
          </w:p>
        </w:tc>
      </w:tr>
      <w:tr w:rsidR="00647895" w:rsidRPr="00E43DD7" w14:paraId="4ABEBB1A" w14:textId="77777777" w:rsidTr="00647895">
        <w:trPr>
          <w:trHeight w:val="1380"/>
        </w:trPr>
        <w:tc>
          <w:tcPr>
            <w:tcW w:w="9393" w:type="dxa"/>
            <w:gridSpan w:val="2"/>
            <w:tcBorders>
              <w:left w:val="double" w:sz="6" w:space="0" w:color="auto"/>
              <w:bottom w:val="single" w:sz="12" w:space="0" w:color="auto"/>
              <w:right w:val="double" w:sz="6" w:space="0" w:color="auto"/>
            </w:tcBorders>
          </w:tcPr>
          <w:p w14:paraId="083A96FA" w14:textId="4FD77E05" w:rsidR="00647895" w:rsidRPr="00E43DD7" w:rsidRDefault="00647895" w:rsidP="00647895">
            <w:pPr>
              <w:tabs>
                <w:tab w:val="left" w:pos="794"/>
                <w:tab w:val="left" w:pos="1191"/>
                <w:tab w:val="left" w:pos="1588"/>
                <w:tab w:val="left" w:pos="1985"/>
              </w:tabs>
              <w:suppressAutoHyphens/>
              <w:spacing w:after="120"/>
              <w:rPr>
                <w:bCs/>
              </w:rPr>
            </w:pPr>
            <w:r w:rsidRPr="00E43DD7">
              <w:rPr>
                <w:b/>
              </w:rPr>
              <w:t>Abstract:</w:t>
            </w:r>
            <w:r w:rsidRPr="00E43DD7">
              <w:rPr>
                <w:bCs/>
              </w:rPr>
              <w:t xml:space="preserve">  </w:t>
            </w:r>
            <w:r w:rsidR="00E23C33" w:rsidRPr="00E43DD7">
              <w:rPr>
                <w:bCs/>
              </w:rPr>
              <w:t xml:space="preserve">The contribution will </w:t>
            </w:r>
            <w:r w:rsidR="00C369AA" w:rsidRPr="00E43DD7">
              <w:rPr>
                <w:bCs/>
              </w:rPr>
              <w:t xml:space="preserve">include a description of the space-to-space operations to be studied, characteristics of incumbent and space-to-space systems, and </w:t>
            </w:r>
            <w:r w:rsidR="00BE72B5" w:rsidRPr="00E43DD7">
              <w:rPr>
                <w:bCs/>
              </w:rPr>
              <w:t>a list of relevant existing material.</w:t>
            </w:r>
          </w:p>
        </w:tc>
      </w:tr>
    </w:tbl>
    <w:p w14:paraId="4031A9E1" w14:textId="7B4244E5" w:rsidR="00506113" w:rsidRPr="00E43DD7" w:rsidRDefault="00506113"/>
    <w:p w14:paraId="3859EEEB" w14:textId="77777777" w:rsidR="00506113" w:rsidRPr="00E43DD7" w:rsidRDefault="00506113">
      <w:pPr>
        <w:spacing w:after="160" w:line="259" w:lineRule="auto"/>
      </w:pPr>
      <w:r w:rsidRPr="00E43DD7">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26B2F" w:rsidRPr="00E43DD7" w14:paraId="2D2D2A40" w14:textId="77777777" w:rsidTr="00147AA9">
        <w:trPr>
          <w:cantSplit/>
        </w:trPr>
        <w:tc>
          <w:tcPr>
            <w:tcW w:w="6487" w:type="dxa"/>
            <w:vAlign w:val="center"/>
          </w:tcPr>
          <w:p w14:paraId="2861688C"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textAlignment w:val="baseline"/>
              <w:rPr>
                <w:b/>
                <w:bCs/>
                <w:lang w:val="en-GB"/>
              </w:rPr>
            </w:pPr>
            <w:r w:rsidRPr="00E43DD7">
              <w:rPr>
                <w:b/>
                <w:bCs/>
                <w:lang w:val="en-GB"/>
              </w:rPr>
              <w:lastRenderedPageBreak/>
              <w:t>Radiocommunication Study Groups</w:t>
            </w:r>
          </w:p>
        </w:tc>
        <w:tc>
          <w:tcPr>
            <w:tcW w:w="3402" w:type="dxa"/>
          </w:tcPr>
          <w:p w14:paraId="3BF47B5B"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lang w:val="en-GB"/>
              </w:rPr>
            </w:pPr>
            <w:bookmarkStart w:id="1" w:name="ditulogo"/>
            <w:bookmarkEnd w:id="1"/>
            <w:r w:rsidRPr="00E43DD7">
              <w:rPr>
                <w:noProof/>
              </w:rPr>
              <w:drawing>
                <wp:inline distT="0" distB="0" distL="0" distR="0" wp14:anchorId="20FE9DE5" wp14:editId="5A93AC4A">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26B2F" w:rsidRPr="00E43DD7" w14:paraId="305DE2A2" w14:textId="77777777" w:rsidTr="00147AA9">
        <w:trPr>
          <w:cantSplit/>
        </w:trPr>
        <w:tc>
          <w:tcPr>
            <w:tcW w:w="6487" w:type="dxa"/>
            <w:tcBorders>
              <w:bottom w:val="single" w:sz="12" w:space="0" w:color="auto"/>
            </w:tcBorders>
          </w:tcPr>
          <w:p w14:paraId="38BAAB13"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spacing w:after="48"/>
              <w:textAlignment w:val="baseline"/>
              <w:rPr>
                <w:b/>
                <w:lang w:val="en-GB"/>
              </w:rPr>
            </w:pPr>
          </w:p>
        </w:tc>
        <w:tc>
          <w:tcPr>
            <w:tcW w:w="3402" w:type="dxa"/>
            <w:tcBorders>
              <w:bottom w:val="single" w:sz="12" w:space="0" w:color="auto"/>
            </w:tcBorders>
          </w:tcPr>
          <w:p w14:paraId="6C41B8DD"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pPr>
          </w:p>
        </w:tc>
      </w:tr>
      <w:tr w:rsidR="00C26B2F" w:rsidRPr="00E43DD7" w14:paraId="28298217" w14:textId="77777777" w:rsidTr="00147AA9">
        <w:trPr>
          <w:cantSplit/>
        </w:trPr>
        <w:tc>
          <w:tcPr>
            <w:tcW w:w="6487" w:type="dxa"/>
            <w:tcBorders>
              <w:top w:val="single" w:sz="12" w:space="0" w:color="auto"/>
            </w:tcBorders>
          </w:tcPr>
          <w:p w14:paraId="1CCC2D81"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spacing w:after="48"/>
              <w:textAlignment w:val="baseline"/>
              <w:rPr>
                <w:bCs/>
                <w:lang w:val="en-GB"/>
              </w:rPr>
            </w:pPr>
          </w:p>
        </w:tc>
        <w:tc>
          <w:tcPr>
            <w:tcW w:w="3402" w:type="dxa"/>
            <w:tcBorders>
              <w:top w:val="single" w:sz="12" w:space="0" w:color="auto"/>
            </w:tcBorders>
          </w:tcPr>
          <w:p w14:paraId="5FFA80BB" w14:textId="77777777" w:rsidR="00C26B2F" w:rsidRPr="00E43DD7" w:rsidRDefault="00C26B2F" w:rsidP="00147AA9">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pPr>
          </w:p>
        </w:tc>
      </w:tr>
      <w:tr w:rsidR="00C26B2F" w:rsidRPr="00E43DD7" w14:paraId="57257858" w14:textId="77777777" w:rsidTr="00147AA9">
        <w:trPr>
          <w:cantSplit/>
        </w:trPr>
        <w:tc>
          <w:tcPr>
            <w:tcW w:w="6487" w:type="dxa"/>
            <w:vMerge w:val="restart"/>
          </w:tcPr>
          <w:p w14:paraId="5B70855E" w14:textId="7B80A347" w:rsidR="00C26B2F" w:rsidRPr="00AF5D7B" w:rsidRDefault="00C26B2F" w:rsidP="00147AA9">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bookmarkStart w:id="2" w:name="recibido"/>
            <w:bookmarkStart w:id="3" w:name="dnum" w:colFirst="1" w:colLast="1"/>
            <w:bookmarkEnd w:id="2"/>
            <w:r w:rsidRPr="00AF5D7B">
              <w:rPr>
                <w:rFonts w:ascii="Verdana" w:hAnsi="Verdana"/>
                <w:sz w:val="20"/>
                <w:szCs w:val="20"/>
                <w:lang w:val="en-GB"/>
              </w:rPr>
              <w:t>Received:</w:t>
            </w:r>
            <w:r w:rsidRPr="00AF5D7B">
              <w:rPr>
                <w:rFonts w:ascii="Verdana" w:hAnsi="Verdana"/>
                <w:sz w:val="20"/>
                <w:szCs w:val="20"/>
                <w:lang w:val="en-GB"/>
              </w:rPr>
              <w:tab/>
              <w:t xml:space="preserve"> </w:t>
            </w:r>
            <w:r w:rsidR="00980DD5" w:rsidRPr="00AF5D7B">
              <w:rPr>
                <w:rFonts w:ascii="Verdana" w:hAnsi="Verdana"/>
                <w:sz w:val="20"/>
                <w:szCs w:val="20"/>
                <w:lang w:val="en-GB"/>
              </w:rPr>
              <w:t xml:space="preserve">27 March </w:t>
            </w:r>
            <w:r w:rsidRPr="00AF5D7B">
              <w:rPr>
                <w:rFonts w:ascii="Verdana" w:hAnsi="Verdana"/>
                <w:sz w:val="20"/>
                <w:szCs w:val="20"/>
                <w:lang w:val="en-GB"/>
              </w:rPr>
              <w:t>2024</w:t>
            </w:r>
          </w:p>
          <w:p w14:paraId="06B95F43" w14:textId="11DB8EE9" w:rsidR="00C26B2F" w:rsidRPr="00AF5D7B" w:rsidRDefault="00C26B2F" w:rsidP="00147AA9">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r w:rsidRPr="00AF5D7B">
              <w:rPr>
                <w:rFonts w:ascii="Verdana" w:hAnsi="Verdana"/>
                <w:sz w:val="20"/>
                <w:szCs w:val="20"/>
                <w:lang w:val="en-GB"/>
              </w:rPr>
              <w:t>Subject:</w:t>
            </w:r>
            <w:r w:rsidRPr="00AF5D7B">
              <w:rPr>
                <w:rFonts w:ascii="Verdana" w:hAnsi="Verdana"/>
                <w:sz w:val="20"/>
                <w:szCs w:val="20"/>
                <w:lang w:val="en-GB"/>
              </w:rPr>
              <w:tab/>
              <w:t>WRC-27 Agenda Item 1.11; Resolution 249</w:t>
            </w:r>
          </w:p>
        </w:tc>
        <w:tc>
          <w:tcPr>
            <w:tcW w:w="3402" w:type="dxa"/>
          </w:tcPr>
          <w:p w14:paraId="10884756" w14:textId="3CE33B78" w:rsidR="00C26B2F" w:rsidRPr="00AF5D7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sidRPr="00AF5D7B">
              <w:rPr>
                <w:rFonts w:ascii="Verdana" w:hAnsi="Verdana"/>
                <w:b/>
                <w:sz w:val="20"/>
                <w:szCs w:val="20"/>
                <w:lang w:val="en-GB" w:eastAsia="zh-CN"/>
              </w:rPr>
              <w:t>Document US4C/24/09-E</w:t>
            </w:r>
          </w:p>
        </w:tc>
      </w:tr>
      <w:tr w:rsidR="00C26B2F" w:rsidRPr="00E43DD7" w14:paraId="4CEE816E" w14:textId="77777777" w:rsidTr="00147AA9">
        <w:trPr>
          <w:cantSplit/>
        </w:trPr>
        <w:tc>
          <w:tcPr>
            <w:tcW w:w="6487" w:type="dxa"/>
            <w:vMerge/>
          </w:tcPr>
          <w:p w14:paraId="5386BA75" w14:textId="77777777" w:rsidR="00C26B2F" w:rsidRPr="00AF5D7B" w:rsidRDefault="00C26B2F" w:rsidP="00147AA9">
            <w:pPr>
              <w:tabs>
                <w:tab w:val="left" w:pos="1134"/>
                <w:tab w:val="left" w:pos="1871"/>
                <w:tab w:val="left" w:pos="2268"/>
              </w:tabs>
              <w:overflowPunct w:val="0"/>
              <w:autoSpaceDE w:val="0"/>
              <w:autoSpaceDN w:val="0"/>
              <w:adjustRightInd w:val="0"/>
              <w:spacing w:before="60"/>
              <w:jc w:val="center"/>
              <w:textAlignment w:val="baseline"/>
              <w:rPr>
                <w:rFonts w:ascii="Verdana" w:hAnsi="Verdana"/>
                <w:b/>
                <w:smallCaps/>
                <w:sz w:val="20"/>
                <w:szCs w:val="20"/>
                <w:lang w:val="en-GB" w:eastAsia="zh-CN"/>
              </w:rPr>
            </w:pPr>
            <w:bookmarkStart w:id="4" w:name="ddate" w:colFirst="1" w:colLast="1"/>
            <w:bookmarkEnd w:id="3"/>
          </w:p>
        </w:tc>
        <w:tc>
          <w:tcPr>
            <w:tcW w:w="3402" w:type="dxa"/>
          </w:tcPr>
          <w:p w14:paraId="72AC0952" w14:textId="18462212" w:rsidR="00C26B2F" w:rsidRPr="00AF5D7B" w:rsidRDefault="00980DD5"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sidRPr="00AF5D7B">
              <w:rPr>
                <w:rFonts w:ascii="Verdana" w:hAnsi="Verdana"/>
                <w:b/>
                <w:sz w:val="20"/>
                <w:szCs w:val="20"/>
                <w:lang w:val="en-GB" w:eastAsia="zh-CN"/>
              </w:rPr>
              <w:t>27 March</w:t>
            </w:r>
            <w:r w:rsidR="00C26B2F" w:rsidRPr="00AF5D7B">
              <w:rPr>
                <w:rFonts w:ascii="Verdana" w:hAnsi="Verdana"/>
                <w:b/>
                <w:sz w:val="20"/>
                <w:szCs w:val="20"/>
                <w:lang w:val="en-GB" w:eastAsia="zh-CN"/>
              </w:rPr>
              <w:t xml:space="preserve"> 2024</w:t>
            </w:r>
          </w:p>
        </w:tc>
      </w:tr>
      <w:tr w:rsidR="00C26B2F" w:rsidRPr="00E43DD7" w14:paraId="017E95CC" w14:textId="77777777" w:rsidTr="00147AA9">
        <w:trPr>
          <w:cantSplit/>
        </w:trPr>
        <w:tc>
          <w:tcPr>
            <w:tcW w:w="6487" w:type="dxa"/>
            <w:vMerge/>
          </w:tcPr>
          <w:p w14:paraId="74E82F80" w14:textId="77777777" w:rsidR="00C26B2F" w:rsidRPr="00AF5D7B" w:rsidRDefault="00C26B2F" w:rsidP="00147AA9">
            <w:pPr>
              <w:tabs>
                <w:tab w:val="left" w:pos="1134"/>
                <w:tab w:val="left" w:pos="1871"/>
                <w:tab w:val="left" w:pos="2268"/>
              </w:tabs>
              <w:overflowPunct w:val="0"/>
              <w:autoSpaceDE w:val="0"/>
              <w:autoSpaceDN w:val="0"/>
              <w:adjustRightInd w:val="0"/>
              <w:spacing w:before="60"/>
              <w:jc w:val="center"/>
              <w:textAlignment w:val="baseline"/>
              <w:rPr>
                <w:rFonts w:ascii="Verdana" w:hAnsi="Verdana"/>
                <w:b/>
                <w:smallCaps/>
                <w:sz w:val="20"/>
                <w:szCs w:val="20"/>
                <w:lang w:val="en-GB" w:eastAsia="zh-CN"/>
              </w:rPr>
            </w:pPr>
            <w:bookmarkStart w:id="5" w:name="dorlang" w:colFirst="1" w:colLast="1"/>
            <w:bookmarkEnd w:id="4"/>
          </w:p>
        </w:tc>
        <w:tc>
          <w:tcPr>
            <w:tcW w:w="3402" w:type="dxa"/>
          </w:tcPr>
          <w:p w14:paraId="0A7339D7" w14:textId="77777777" w:rsidR="00C26B2F" w:rsidRPr="00AF5D7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SimSun" w:hAnsi="Verdana"/>
                <w:sz w:val="20"/>
                <w:szCs w:val="20"/>
                <w:lang w:val="en-GB" w:eastAsia="zh-CN"/>
              </w:rPr>
            </w:pPr>
            <w:r w:rsidRPr="00AF5D7B">
              <w:rPr>
                <w:rFonts w:ascii="Verdana" w:eastAsia="SimSun" w:hAnsi="Verdana"/>
                <w:b/>
                <w:sz w:val="20"/>
                <w:szCs w:val="20"/>
                <w:lang w:val="en-GB" w:eastAsia="zh-CN"/>
              </w:rPr>
              <w:t>Original: English</w:t>
            </w:r>
          </w:p>
        </w:tc>
      </w:tr>
      <w:tr w:rsidR="00C26B2F" w:rsidRPr="00E43DD7" w14:paraId="2F5E129C" w14:textId="77777777" w:rsidTr="00147AA9">
        <w:trPr>
          <w:cantSplit/>
        </w:trPr>
        <w:tc>
          <w:tcPr>
            <w:tcW w:w="9889" w:type="dxa"/>
            <w:gridSpan w:val="2"/>
          </w:tcPr>
          <w:p w14:paraId="7045586C" w14:textId="77777777" w:rsidR="00C26B2F" w:rsidRPr="00E43DD7" w:rsidRDefault="00C26B2F" w:rsidP="00147AA9">
            <w:pPr>
              <w:tabs>
                <w:tab w:val="left" w:pos="1134"/>
                <w:tab w:val="left" w:pos="1871"/>
                <w:tab w:val="left" w:pos="2268"/>
              </w:tabs>
              <w:overflowPunct w:val="0"/>
              <w:autoSpaceDE w:val="0"/>
              <w:autoSpaceDN w:val="0"/>
              <w:adjustRightInd w:val="0"/>
              <w:spacing w:before="840"/>
              <w:jc w:val="center"/>
              <w:textAlignment w:val="baseline"/>
              <w:rPr>
                <w:b/>
                <w:lang w:val="en-GB" w:eastAsia="zh-CN"/>
              </w:rPr>
            </w:pPr>
            <w:bookmarkStart w:id="6" w:name="dsource" w:colFirst="0" w:colLast="0"/>
            <w:bookmarkEnd w:id="5"/>
            <w:r w:rsidRPr="00E43DD7">
              <w:rPr>
                <w:b/>
                <w:lang w:val="en-GB" w:eastAsia="zh-CN"/>
              </w:rPr>
              <w:t>United States of America</w:t>
            </w:r>
          </w:p>
        </w:tc>
      </w:tr>
      <w:tr w:rsidR="00C26B2F" w:rsidRPr="00E43DD7" w14:paraId="67B5C229" w14:textId="77777777" w:rsidTr="00147AA9">
        <w:trPr>
          <w:cantSplit/>
        </w:trPr>
        <w:tc>
          <w:tcPr>
            <w:tcW w:w="9889" w:type="dxa"/>
            <w:gridSpan w:val="2"/>
          </w:tcPr>
          <w:p w14:paraId="46FCB4ED" w14:textId="31D999D5" w:rsidR="00C26B2F" w:rsidRPr="00E43DD7" w:rsidRDefault="00C26B2F" w:rsidP="00147AA9">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lang w:val="en-GB" w:eastAsia="zh-CN"/>
              </w:rPr>
            </w:pPr>
            <w:bookmarkStart w:id="7" w:name="drec" w:colFirst="0" w:colLast="0"/>
            <w:bookmarkEnd w:id="6"/>
            <w:r w:rsidRPr="00E43DD7">
              <w:rPr>
                <w:caps/>
                <w:lang w:eastAsia="zh-CN"/>
              </w:rPr>
              <w:t>working document regarding wrc-27 agenda item 1.11</w:t>
            </w:r>
          </w:p>
        </w:tc>
      </w:tr>
      <w:tr w:rsidR="00C26B2F" w:rsidRPr="00E43DD7" w14:paraId="209B3FFC" w14:textId="77777777" w:rsidTr="00147AA9">
        <w:trPr>
          <w:cantSplit/>
        </w:trPr>
        <w:tc>
          <w:tcPr>
            <w:tcW w:w="9889" w:type="dxa"/>
            <w:gridSpan w:val="2"/>
          </w:tcPr>
          <w:p w14:paraId="42E68579" w14:textId="77777777" w:rsidR="00C26B2F" w:rsidRPr="00E43DD7" w:rsidRDefault="00C26B2F" w:rsidP="00147AA9">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lang w:val="en-GB" w:eastAsia="zh-CN"/>
              </w:rPr>
            </w:pPr>
            <w:bookmarkStart w:id="8" w:name="dtitle1" w:colFirst="0" w:colLast="0"/>
            <w:bookmarkEnd w:id="7"/>
          </w:p>
        </w:tc>
      </w:tr>
    </w:tbl>
    <w:bookmarkEnd w:id="8"/>
    <w:p w14:paraId="0146F289" w14:textId="6B20D87B" w:rsidR="003E5E44" w:rsidRPr="00E43DD7" w:rsidRDefault="003E5E44" w:rsidP="003E5E44">
      <w:pPr>
        <w:pStyle w:val="NormalWeb"/>
      </w:pPr>
      <w:r w:rsidRPr="00E43DD7">
        <w:t xml:space="preserve">WRC-27 Agenda Item 1.11 directs that conference to: </w:t>
      </w:r>
      <w:r w:rsidRPr="00E43DD7">
        <w:rPr>
          <w:i/>
          <w:iCs/>
        </w:rPr>
        <w:t xml:space="preserve">“to consider the technical and operational issues, and regulatory provisions, for space-to- space links among non-geostationary and geostationary satellites in the frequency bands 1 518-1 544 MHz, 1 545-1 559 MHz, 1 610-1 645.5 MHz, 1 646.5-1 660 MHz, 1 670-1 675 MHz and 2 483.5-2 500 MHz allocated to the mobile-satellite service, in accordance with Resolution </w:t>
      </w:r>
      <w:r w:rsidRPr="00E43DD7">
        <w:rPr>
          <w:b/>
          <w:bCs/>
          <w:i/>
          <w:iCs/>
        </w:rPr>
        <w:t>249 (Rev.WRC-23)</w:t>
      </w:r>
      <w:r w:rsidRPr="00E43DD7">
        <w:rPr>
          <w:i/>
          <w:iCs/>
        </w:rPr>
        <w:t xml:space="preserve">;” </w:t>
      </w:r>
    </w:p>
    <w:p w14:paraId="3B7B06D1" w14:textId="77777777" w:rsidR="006755A1" w:rsidRPr="00E43DD7" w:rsidRDefault="00C26B2F" w:rsidP="00945CFF">
      <w:r w:rsidRPr="00E43DD7">
        <w:t xml:space="preserve">ITU-R Resolution </w:t>
      </w:r>
      <w:r w:rsidRPr="00980DD5">
        <w:rPr>
          <w:b/>
          <w:bCs/>
        </w:rPr>
        <w:t>249 (WRC-23)</w:t>
      </w:r>
      <w:r w:rsidRPr="00E43DD7">
        <w:t xml:space="preserve"> calls </w:t>
      </w:r>
      <w:r w:rsidR="00FD29A6" w:rsidRPr="00E43DD7">
        <w:t xml:space="preserve">for </w:t>
      </w:r>
      <w:r w:rsidR="00945CFF" w:rsidRPr="00E43DD7">
        <w:t>ITU-R to consider the technical and operational issues, and regulatory provisions, for space-to-space links among non-geostationary and geostationary satellites in the frequency bands 1 518-1 544 MHz, 1 545-1 559 MHz, 1</w:t>
      </w:r>
      <w:r w:rsidR="00902F96" w:rsidRPr="00E43DD7">
        <w:t> </w:t>
      </w:r>
      <w:r w:rsidR="00945CFF" w:rsidRPr="00E43DD7">
        <w:t>610</w:t>
      </w:r>
      <w:r w:rsidR="00902F96" w:rsidRPr="00E43DD7">
        <w:noBreakHyphen/>
      </w:r>
      <w:r w:rsidR="00945CFF" w:rsidRPr="00E43DD7">
        <w:t xml:space="preserve">1 645.5 MHz, 1 646.5-1 660 MHz, 1 670-1 675 </w:t>
      </w:r>
      <w:proofErr w:type="gramStart"/>
      <w:r w:rsidR="00945CFF" w:rsidRPr="00E43DD7">
        <w:t>MHz</w:t>
      </w:r>
      <w:proofErr w:type="gramEnd"/>
      <w:r w:rsidR="00945CFF" w:rsidRPr="00E43DD7">
        <w:t xml:space="preserve"> and 2 483.5-2 500 MHz allocated to the mobile-satellite service</w:t>
      </w:r>
      <w:r w:rsidR="00902F96" w:rsidRPr="00E43DD7">
        <w:t>.</w:t>
      </w:r>
      <w:r w:rsidR="00574AB9" w:rsidRPr="00E43DD7">
        <w:t xml:space="preserve"> </w:t>
      </w:r>
    </w:p>
    <w:p w14:paraId="7D417891" w14:textId="77777777" w:rsidR="006755A1" w:rsidRPr="00E43DD7" w:rsidRDefault="006755A1" w:rsidP="00945CFF"/>
    <w:p w14:paraId="59B70DCB" w14:textId="680EE271" w:rsidR="00D544BE" w:rsidRPr="00E43DD7" w:rsidRDefault="00574AB9" w:rsidP="00802E84">
      <w:r w:rsidRPr="00980DD5">
        <w:t xml:space="preserve">Work on this issue has previously been conducted in Working Party 4C, most recently </w:t>
      </w:r>
      <w:r w:rsidR="00FC7AF6" w:rsidRPr="00980DD5">
        <w:t>at the June 2019 meeting</w:t>
      </w:r>
      <w:r w:rsidR="00D63CCF" w:rsidRPr="00980DD5">
        <w:t xml:space="preserve">, with output in </w:t>
      </w:r>
      <w:hyperlink r:id="rId13" w:history="1">
        <w:r w:rsidR="001D75F7" w:rsidRPr="00980DD5">
          <w:rPr>
            <w:rStyle w:val="Hyperlink"/>
          </w:rPr>
          <w:t>Annex 6 to Document 4C/472 (2016-2019 cycle)</w:t>
        </w:r>
      </w:hyperlink>
      <w:r w:rsidR="001016DD" w:rsidRPr="00980DD5">
        <w:t xml:space="preserve">. </w:t>
      </w:r>
      <w:r w:rsidR="00517B73" w:rsidRPr="00980DD5">
        <w:t xml:space="preserve">Drawing upon elements of </w:t>
      </w:r>
      <w:r w:rsidR="006755A1" w:rsidRPr="00980DD5">
        <w:t>this document, t</w:t>
      </w:r>
      <w:r w:rsidR="001016DD" w:rsidRPr="00980DD5">
        <w:t xml:space="preserve">he United States herein submits </w:t>
      </w:r>
      <w:r w:rsidR="00517B73" w:rsidRPr="00980DD5">
        <w:t xml:space="preserve">the attachment </w:t>
      </w:r>
      <w:r w:rsidR="001016DD" w:rsidRPr="00980DD5">
        <w:t xml:space="preserve">as </w:t>
      </w:r>
      <w:r w:rsidR="006755A1" w:rsidRPr="00980DD5">
        <w:t xml:space="preserve">a starting point </w:t>
      </w:r>
      <w:r w:rsidR="00517B73" w:rsidRPr="00980DD5">
        <w:t>for a working document regarding WRC-27 Agenda Item 1.11</w:t>
      </w:r>
      <w:r w:rsidR="006755A1" w:rsidRPr="00980DD5">
        <w:t xml:space="preserve"> </w:t>
      </w:r>
      <w:r w:rsidR="001016DD" w:rsidRPr="00980DD5">
        <w:t xml:space="preserve">as a </w:t>
      </w:r>
      <w:r w:rsidR="00802E84" w:rsidRPr="00980DD5">
        <w:t xml:space="preserve">basis for addressing ITU-R Resolution </w:t>
      </w:r>
      <w:r w:rsidR="00802E84" w:rsidRPr="00980DD5">
        <w:rPr>
          <w:b/>
          <w:bCs/>
        </w:rPr>
        <w:t>249 (WRC-23)</w:t>
      </w:r>
      <w:r w:rsidR="00802E84" w:rsidRPr="00980DD5">
        <w:t>.</w:t>
      </w:r>
      <w:r w:rsidR="00802E84" w:rsidRPr="00E43DD7">
        <w:t xml:space="preserve"> </w:t>
      </w:r>
    </w:p>
    <w:p w14:paraId="6D19F8E3" w14:textId="77777777" w:rsidR="00C26B2F" w:rsidRPr="00E43DD7" w:rsidRDefault="00C26B2F" w:rsidP="00C26B2F"/>
    <w:p w14:paraId="186E00CC" w14:textId="77777777" w:rsidR="00C26B2F" w:rsidRPr="00E43DD7" w:rsidRDefault="00C26B2F" w:rsidP="00C26B2F"/>
    <w:p w14:paraId="4F214DFA" w14:textId="77777777" w:rsidR="00C26B2F" w:rsidRPr="00E43DD7" w:rsidRDefault="00C26B2F" w:rsidP="00C26B2F"/>
    <w:p w14:paraId="68F27095" w14:textId="77777777" w:rsidR="001D75F7" w:rsidRPr="00E43DD7" w:rsidRDefault="001D75F7">
      <w:pPr>
        <w:spacing w:after="160" w:line="259" w:lineRule="auto"/>
        <w:rPr>
          <w:bCs/>
        </w:rPr>
      </w:pPr>
      <w:r w:rsidRPr="00E43DD7">
        <w:rPr>
          <w:b/>
          <w:bCs/>
        </w:rPr>
        <w:br w:type="page"/>
      </w:r>
    </w:p>
    <w:p w14:paraId="56C10582" w14:textId="77777777" w:rsidR="001D75F7" w:rsidRPr="00E43DD7" w:rsidRDefault="001D75F7" w:rsidP="001D75F7"/>
    <w:tbl>
      <w:tblPr>
        <w:tblpPr w:leftFromText="180" w:rightFromText="180" w:horzAnchor="margin" w:tblpY="-687"/>
        <w:tblW w:w="9889" w:type="dxa"/>
        <w:tblLayout w:type="fixed"/>
        <w:tblLook w:val="0000" w:firstRow="0" w:lastRow="0" w:firstColumn="0" w:lastColumn="0" w:noHBand="0" w:noVBand="0"/>
      </w:tblPr>
      <w:tblGrid>
        <w:gridCol w:w="9889"/>
      </w:tblGrid>
      <w:tr w:rsidR="001D75F7" w:rsidRPr="00E43DD7" w14:paraId="3463C87C" w14:textId="77777777" w:rsidTr="00817727">
        <w:trPr>
          <w:cantSplit/>
        </w:trPr>
        <w:tc>
          <w:tcPr>
            <w:tcW w:w="9889" w:type="dxa"/>
          </w:tcPr>
          <w:p w14:paraId="0C1BB094" w14:textId="77777777" w:rsidR="001D75F7" w:rsidRPr="00E43DD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b/>
                <w:lang w:val="en-GB"/>
              </w:rPr>
            </w:pPr>
          </w:p>
          <w:p w14:paraId="65201CDA" w14:textId="070DC9B8" w:rsidR="001D75F7" w:rsidRPr="00E43DD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b/>
                <w:lang w:val="en-GB"/>
              </w:rPr>
            </w:pPr>
            <w:r w:rsidRPr="00E43DD7">
              <w:rPr>
                <w:b/>
                <w:lang w:val="en-GB"/>
              </w:rPr>
              <w:t>ATTACHMENT</w:t>
            </w:r>
          </w:p>
          <w:p w14:paraId="6304C52C" w14:textId="77777777" w:rsidR="00802E84" w:rsidRPr="00E43DD7" w:rsidRDefault="00802E84" w:rsidP="001D75F7">
            <w:pPr>
              <w:keepNext/>
              <w:keepLines/>
              <w:tabs>
                <w:tab w:val="left" w:pos="1134"/>
                <w:tab w:val="left" w:pos="1871"/>
                <w:tab w:val="left" w:pos="2268"/>
              </w:tabs>
              <w:overflowPunct w:val="0"/>
              <w:autoSpaceDE w:val="0"/>
              <w:autoSpaceDN w:val="0"/>
              <w:adjustRightInd w:val="0"/>
              <w:spacing w:before="240"/>
              <w:jc w:val="center"/>
              <w:textAlignment w:val="baseline"/>
              <w:rPr>
                <w:b/>
                <w:lang w:val="en-GB"/>
              </w:rPr>
            </w:pPr>
          </w:p>
          <w:p w14:paraId="6C993542" w14:textId="3843A058" w:rsidR="00802E84" w:rsidRPr="00E43DD7" w:rsidRDefault="00802E84" w:rsidP="001D75F7">
            <w:pPr>
              <w:keepNext/>
              <w:keepLines/>
              <w:tabs>
                <w:tab w:val="left" w:pos="1134"/>
                <w:tab w:val="left" w:pos="1871"/>
                <w:tab w:val="left" w:pos="2268"/>
              </w:tabs>
              <w:overflowPunct w:val="0"/>
              <w:autoSpaceDE w:val="0"/>
              <w:autoSpaceDN w:val="0"/>
              <w:adjustRightInd w:val="0"/>
              <w:spacing w:before="240"/>
              <w:jc w:val="center"/>
              <w:textAlignment w:val="baseline"/>
              <w:rPr>
                <w:b/>
                <w:lang w:val="en-GB"/>
              </w:rPr>
            </w:pPr>
            <w:r w:rsidRPr="00E43DD7">
              <w:rPr>
                <w:caps/>
                <w:lang w:eastAsia="zh-CN"/>
              </w:rPr>
              <w:t>working document regarding wrc-27 agenda item 1.11</w:t>
            </w:r>
          </w:p>
          <w:p w14:paraId="3B7FE43D" w14:textId="145A7077" w:rsidR="001D75F7" w:rsidRPr="00E43DD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b/>
                <w:lang w:val="en-GB" w:eastAsia="zh-CN"/>
              </w:rPr>
            </w:pPr>
            <w:r w:rsidRPr="00E43DD7">
              <w:rPr>
                <w:b/>
                <w:lang w:val="en-GB"/>
              </w:rPr>
              <w:t>Non-geostationary satellites operating space-to-space links in mobile-satellite service (MSS) allocations in the 1-3 GHz range</w:t>
            </w:r>
          </w:p>
        </w:tc>
      </w:tr>
    </w:tbl>
    <w:p w14:paraId="730F0C18" w14:textId="77777777" w:rsidR="001D75F7" w:rsidRPr="00E43DD7" w:rsidRDefault="001D75F7" w:rsidP="001D75F7">
      <w:pPr>
        <w:keepNext/>
        <w:keepLines/>
        <w:tabs>
          <w:tab w:val="left" w:pos="1134"/>
          <w:tab w:val="left" w:pos="1871"/>
          <w:tab w:val="left" w:pos="2268"/>
        </w:tabs>
        <w:overflowPunct w:val="0"/>
        <w:autoSpaceDE w:val="0"/>
        <w:autoSpaceDN w:val="0"/>
        <w:adjustRightInd w:val="0"/>
        <w:spacing w:before="360"/>
        <w:ind w:left="1134" w:hanging="1134"/>
        <w:textAlignment w:val="baseline"/>
        <w:outlineLvl w:val="0"/>
        <w:rPr>
          <w:b/>
          <w:lang w:val="en-GB"/>
        </w:rPr>
      </w:pPr>
      <w:r w:rsidRPr="00E43DD7">
        <w:rPr>
          <w:b/>
          <w:lang w:val="en-GB"/>
        </w:rPr>
        <w:t>1</w:t>
      </w:r>
      <w:r w:rsidRPr="00E43DD7">
        <w:rPr>
          <w:b/>
          <w:lang w:val="en-GB"/>
        </w:rPr>
        <w:tab/>
        <w:t>Introduction</w:t>
      </w:r>
    </w:p>
    <w:p w14:paraId="02F5F5F5" w14:textId="7AD323EB" w:rsidR="0092008E" w:rsidRPr="00E43DD7" w:rsidRDefault="0092008E" w:rsidP="0092008E">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The landscape of satellite communications has seen a significant uptick in the deployment and operation of small non-geostationary (non-GSO) satellites, particularly those on short-duration missions. This surge is largely attributed to the advent of very small satellites, sometimes referred to as “</w:t>
      </w:r>
      <w:proofErr w:type="spellStart"/>
      <w:r w:rsidR="0097627D" w:rsidRPr="00E43DD7">
        <w:rPr>
          <w:lang w:val="en-GB"/>
        </w:rPr>
        <w:t>cubesats</w:t>
      </w:r>
      <w:proofErr w:type="spellEnd"/>
      <w:r w:rsidRPr="00E43DD7">
        <w:rPr>
          <w:lang w:val="en-GB"/>
        </w:rPr>
        <w:t>”</w:t>
      </w:r>
      <w:r w:rsidR="0097627D" w:rsidRPr="00E43DD7">
        <w:rPr>
          <w:lang w:val="en-GB"/>
        </w:rPr>
        <w:t>,</w:t>
      </w:r>
      <w:r w:rsidRPr="00E43DD7">
        <w:rPr>
          <w:lang w:val="en-GB"/>
        </w:rPr>
        <w:t xml:space="preserve"> along with other small Low Earth Orbit (LEO) satellite missions. These advancements have explored the potential for continuous access across their orbits, leveraging operating host non-GSO service (MSS) systems. Concurrently, geostationary (GSO) MSS operators are </w:t>
      </w:r>
      <w:r w:rsidR="005B624A" w:rsidRPr="00E43DD7">
        <w:rPr>
          <w:lang w:val="en-GB"/>
        </w:rPr>
        <w:t>providing</w:t>
      </w:r>
      <w:r w:rsidRPr="00E43DD7">
        <w:rPr>
          <w:lang w:val="en-GB"/>
        </w:rPr>
        <w:t xml:space="preserve"> communications access to LEO satellites</w:t>
      </w:r>
      <w:r w:rsidR="005B624A" w:rsidRPr="00E43DD7">
        <w:rPr>
          <w:lang w:val="en-GB"/>
        </w:rPr>
        <w:t>- via space-to-space links</w:t>
      </w:r>
      <w:r w:rsidRPr="00E43DD7">
        <w:rPr>
          <w:lang w:val="en-GB"/>
        </w:rPr>
        <w:t>.</w:t>
      </w:r>
    </w:p>
    <w:p w14:paraId="02DC013F" w14:textId="5F244803" w:rsidR="0092008E" w:rsidRPr="00E43DD7" w:rsidRDefault="0092008E" w:rsidP="0092008E">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 xml:space="preserve">In response to this, numerous administrations worldwide have embarked on authorizing small satellites, including </w:t>
      </w:r>
      <w:proofErr w:type="spellStart"/>
      <w:r w:rsidR="001123AD" w:rsidRPr="00E43DD7">
        <w:rPr>
          <w:lang w:val="en-GB"/>
        </w:rPr>
        <w:t>c</w:t>
      </w:r>
      <w:r w:rsidRPr="00E43DD7">
        <w:rPr>
          <w:lang w:val="en-GB"/>
        </w:rPr>
        <w:t>ube</w:t>
      </w:r>
      <w:r w:rsidR="001123AD" w:rsidRPr="00E43DD7">
        <w:rPr>
          <w:lang w:val="en-GB"/>
        </w:rPr>
        <w:t>s</w:t>
      </w:r>
      <w:r w:rsidRPr="00E43DD7">
        <w:rPr>
          <w:lang w:val="en-GB"/>
        </w:rPr>
        <w:t>ats</w:t>
      </w:r>
      <w:proofErr w:type="spellEnd"/>
      <w:r w:rsidRPr="00E43DD7">
        <w:rPr>
          <w:lang w:val="en-GB"/>
        </w:rPr>
        <w:t xml:space="preserve">, on an experimental basis. This trend underscores a growing recognition of the potential these small-scale satellites hold for a myriad of applications. The number of experimental authorizations for transmissions between non-GSO </w:t>
      </w:r>
      <w:r w:rsidR="0097627D" w:rsidRPr="00E43DD7">
        <w:rPr>
          <w:lang w:val="en-GB"/>
        </w:rPr>
        <w:t xml:space="preserve">space stations such as </w:t>
      </w:r>
      <w:proofErr w:type="spellStart"/>
      <w:r w:rsidR="0097627D" w:rsidRPr="00E43DD7">
        <w:rPr>
          <w:lang w:val="en-GB"/>
        </w:rPr>
        <w:t>cubesats</w:t>
      </w:r>
      <w:proofErr w:type="spellEnd"/>
      <w:r w:rsidR="0097627D" w:rsidRPr="00E43DD7">
        <w:rPr>
          <w:lang w:val="en-GB"/>
        </w:rPr>
        <w:t xml:space="preserve"> or small satellites </w:t>
      </w:r>
      <w:r w:rsidRPr="00E43DD7">
        <w:rPr>
          <w:lang w:val="en-GB"/>
        </w:rPr>
        <w:t xml:space="preserve">and GSO satellite systems, as well as between non-GSO space </w:t>
      </w:r>
      <w:proofErr w:type="spellStart"/>
      <w:r w:rsidRPr="00E43DD7">
        <w:rPr>
          <w:lang w:val="en-GB"/>
        </w:rPr>
        <w:t>stations</w:t>
      </w:r>
      <w:r w:rsidR="0097627D" w:rsidRPr="00E43DD7">
        <w:rPr>
          <w:lang w:val="en-GB"/>
        </w:rPr>
        <w:t>and</w:t>
      </w:r>
      <w:proofErr w:type="spellEnd"/>
      <w:r w:rsidR="0097627D" w:rsidRPr="00E43DD7">
        <w:rPr>
          <w:lang w:val="en-GB"/>
        </w:rPr>
        <w:t xml:space="preserve"> non-GSO systems</w:t>
      </w:r>
      <w:r w:rsidRPr="00E43DD7">
        <w:rPr>
          <w:lang w:val="en-GB"/>
        </w:rPr>
        <w:t xml:space="preserve">, is on the rise. These developments are pivotal, considering that many non-GSO </w:t>
      </w:r>
      <w:r w:rsidR="001123AD" w:rsidRPr="00E43DD7">
        <w:rPr>
          <w:lang w:val="en-GB"/>
        </w:rPr>
        <w:t xml:space="preserve">small satellite and </w:t>
      </w:r>
      <w:proofErr w:type="spellStart"/>
      <w:r w:rsidR="001123AD" w:rsidRPr="00E43DD7">
        <w:rPr>
          <w:lang w:val="en-GB"/>
        </w:rPr>
        <w:t>cubesats</w:t>
      </w:r>
      <w:proofErr w:type="spellEnd"/>
      <w:r w:rsidR="001123AD" w:rsidRPr="00E43DD7">
        <w:rPr>
          <w:lang w:val="en-GB"/>
        </w:rPr>
        <w:t xml:space="preserve"> </w:t>
      </w:r>
      <w:r w:rsidRPr="00E43DD7">
        <w:rPr>
          <w:lang w:val="en-GB"/>
        </w:rPr>
        <w:t>satellites traditionally operate with limited and non-real-time connectivity to Earth stations.</w:t>
      </w:r>
    </w:p>
    <w:p w14:paraId="4CC913A0" w14:textId="3D3E71AD" w:rsidR="0092008E" w:rsidRPr="00E43DD7" w:rsidRDefault="0092008E" w:rsidP="0092008E">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 xml:space="preserve">By harnessing space-to-space communication between such </w:t>
      </w:r>
      <w:r w:rsidR="00B804AC" w:rsidRPr="00E43DD7">
        <w:rPr>
          <w:lang w:val="en-GB"/>
        </w:rPr>
        <w:t xml:space="preserve">lower-altitude </w:t>
      </w:r>
      <w:r w:rsidRPr="00E43DD7">
        <w:rPr>
          <w:lang w:val="en-GB"/>
        </w:rPr>
        <w:t xml:space="preserve">non-GSO </w:t>
      </w:r>
      <w:r w:rsidR="001123AD" w:rsidRPr="00E43DD7">
        <w:rPr>
          <w:lang w:val="en-GB"/>
        </w:rPr>
        <w:t xml:space="preserve">small sat and </w:t>
      </w:r>
      <w:proofErr w:type="spellStart"/>
      <w:r w:rsidR="001123AD" w:rsidRPr="00E43DD7">
        <w:rPr>
          <w:lang w:val="en-GB"/>
        </w:rPr>
        <w:t>cubesat</w:t>
      </w:r>
      <w:proofErr w:type="spellEnd"/>
      <w:r w:rsidR="001123AD" w:rsidRPr="00E43DD7">
        <w:rPr>
          <w:lang w:val="en-GB"/>
        </w:rPr>
        <w:t xml:space="preserve"> </w:t>
      </w:r>
      <w:r w:rsidRPr="00E43DD7">
        <w:rPr>
          <w:lang w:val="en-GB"/>
        </w:rPr>
        <w:t xml:space="preserve">satellites </w:t>
      </w:r>
      <w:r w:rsidR="00EB4E71" w:rsidRPr="00E43DD7">
        <w:rPr>
          <w:lang w:val="en-GB"/>
        </w:rPr>
        <w:t>(“user space stations”)</w:t>
      </w:r>
      <w:r w:rsidR="000B78DB" w:rsidRPr="00E43DD7">
        <w:rPr>
          <w:rStyle w:val="FootnoteReference"/>
          <w:sz w:val="24"/>
          <w:lang w:val="en-GB"/>
        </w:rPr>
        <w:footnoteReference w:id="2"/>
      </w:r>
      <w:r w:rsidR="00EB4E71" w:rsidRPr="00E43DD7">
        <w:rPr>
          <w:lang w:val="en-GB"/>
        </w:rPr>
        <w:t xml:space="preserve"> </w:t>
      </w:r>
      <w:r w:rsidRPr="00E43DD7">
        <w:rPr>
          <w:lang w:val="en-GB"/>
        </w:rPr>
        <w:t xml:space="preserve">and </w:t>
      </w:r>
      <w:r w:rsidR="00B804AC" w:rsidRPr="00E43DD7">
        <w:rPr>
          <w:lang w:val="en-GB"/>
        </w:rPr>
        <w:t>non-GSO and GSO</w:t>
      </w:r>
      <w:r w:rsidR="001123AD" w:rsidRPr="00E43DD7">
        <w:rPr>
          <w:lang w:val="en-GB"/>
        </w:rPr>
        <w:t xml:space="preserve"> </w:t>
      </w:r>
      <w:r w:rsidRPr="00E43DD7">
        <w:rPr>
          <w:lang w:val="en-GB"/>
        </w:rPr>
        <w:t xml:space="preserve">MSS </w:t>
      </w:r>
      <w:r w:rsidR="00B804AC" w:rsidRPr="00E43DD7">
        <w:rPr>
          <w:lang w:val="en-GB"/>
        </w:rPr>
        <w:t>service provider space station</w:t>
      </w:r>
      <w:r w:rsidR="000B78DB" w:rsidRPr="00E43DD7">
        <w:rPr>
          <w:lang w:val="en-GB"/>
        </w:rPr>
        <w:t>s</w:t>
      </w:r>
      <w:r w:rsidR="000B78DB" w:rsidRPr="00E43DD7">
        <w:rPr>
          <w:rStyle w:val="FootnoteReference"/>
          <w:sz w:val="24"/>
          <w:lang w:val="en-GB"/>
        </w:rPr>
        <w:footnoteReference w:id="3"/>
      </w:r>
      <w:r w:rsidR="000B78DB" w:rsidRPr="00E43DD7">
        <w:rPr>
          <w:lang w:val="en-GB"/>
        </w:rPr>
        <w:t xml:space="preserve"> </w:t>
      </w:r>
      <w:r w:rsidRPr="00E43DD7">
        <w:rPr>
          <w:lang w:val="en-GB"/>
        </w:rPr>
        <w:t>operating at higher orbital altitudes,</w:t>
      </w:r>
      <w:r w:rsidR="00B804AC" w:rsidRPr="00E43DD7">
        <w:rPr>
          <w:lang w:val="en-GB"/>
        </w:rPr>
        <w:t xml:space="preserve"> </w:t>
      </w:r>
      <w:r w:rsidRPr="00E43DD7">
        <w:rPr>
          <w:lang w:val="en-GB"/>
        </w:rPr>
        <w:t xml:space="preserve">to relay data to or from the ground, a new realm of possibilities </w:t>
      </w:r>
      <w:proofErr w:type="gramStart"/>
      <w:r w:rsidRPr="00E43DD7">
        <w:rPr>
          <w:lang w:val="en-GB"/>
        </w:rPr>
        <w:t>opens up</w:t>
      </w:r>
      <w:proofErr w:type="gramEnd"/>
      <w:r w:rsidRPr="00E43DD7">
        <w:rPr>
          <w:lang w:val="en-GB"/>
        </w:rPr>
        <w:t>. This approach can make data available in near-real-time, significantly enhancing the availability and value of instrument data for applications requiring low latency. The evolving regulatory landscape and the increasing experimental authorizations reflect a collective move towards maximizing the utility of satellite networks, paving the way for innovative communication solutions that transcend traditional orbital and operational boundaries.</w:t>
      </w:r>
    </w:p>
    <w:p w14:paraId="5BD708CB" w14:textId="15F6AA21" w:rsidR="001D75F7" w:rsidRPr="00E43DD7" w:rsidRDefault="001D75F7" w:rsidP="001D75F7">
      <w:pPr>
        <w:keepNext/>
        <w:keepLines/>
        <w:tabs>
          <w:tab w:val="left" w:pos="1871"/>
          <w:tab w:val="left" w:pos="2268"/>
        </w:tabs>
        <w:overflowPunct w:val="0"/>
        <w:autoSpaceDE w:val="0"/>
        <w:autoSpaceDN w:val="0"/>
        <w:adjustRightInd w:val="0"/>
        <w:spacing w:before="200"/>
        <w:ind w:left="1134" w:hanging="1134"/>
        <w:textAlignment w:val="baseline"/>
        <w:outlineLvl w:val="2"/>
        <w:rPr>
          <w:bCs/>
          <w:lang w:val="en-GB"/>
        </w:rPr>
      </w:pPr>
      <w:r w:rsidRPr="00E43DD7">
        <w:rPr>
          <w:b/>
          <w:lang w:val="en-GB"/>
        </w:rPr>
        <w:lastRenderedPageBreak/>
        <w:t>2</w:t>
      </w:r>
      <w:r w:rsidRPr="00E43DD7">
        <w:rPr>
          <w:b/>
          <w:lang w:val="en-GB"/>
        </w:rPr>
        <w:tab/>
        <w:t xml:space="preserve">Examples </w:t>
      </w:r>
      <w:proofErr w:type="gramStart"/>
      <w:r w:rsidRPr="00E43DD7">
        <w:rPr>
          <w:b/>
          <w:lang w:val="en-GB"/>
        </w:rPr>
        <w:t xml:space="preserve">of </w:t>
      </w:r>
      <w:r w:rsidR="00B804AC" w:rsidRPr="00E43DD7">
        <w:rPr>
          <w:b/>
          <w:lang w:val="en-GB"/>
        </w:rPr>
        <w:t xml:space="preserve"> </w:t>
      </w:r>
      <w:r w:rsidR="000B78DB" w:rsidRPr="00E43DD7">
        <w:rPr>
          <w:b/>
          <w:lang w:val="en-GB"/>
        </w:rPr>
        <w:t>user</w:t>
      </w:r>
      <w:proofErr w:type="gramEnd"/>
      <w:r w:rsidR="000B78DB" w:rsidRPr="00E43DD7">
        <w:rPr>
          <w:b/>
          <w:lang w:val="en-GB"/>
        </w:rPr>
        <w:t xml:space="preserve"> space station </w:t>
      </w:r>
      <w:r w:rsidRPr="00E43DD7">
        <w:rPr>
          <w:b/>
          <w:lang w:val="en-GB"/>
        </w:rPr>
        <w:t xml:space="preserve">missions with space-to-space links within in the frequency bands allocated to MSS </w:t>
      </w:r>
    </w:p>
    <w:p w14:paraId="09569C59" w14:textId="0C551A41" w:rsidR="00A1017E" w:rsidRPr="00E43DD7" w:rsidRDefault="00A1017E" w:rsidP="00A1017E">
      <w:pPr>
        <w:shd w:val="clear" w:color="auto" w:fill="FFFFFF"/>
        <w:spacing w:before="100" w:beforeAutospacing="1" w:after="100" w:afterAutospacing="1"/>
        <w:rPr>
          <w:bCs/>
          <w:lang w:val="en-GB"/>
        </w:rPr>
      </w:pPr>
      <w:r w:rsidRPr="00E43DD7">
        <w:rPr>
          <w:bCs/>
          <w:lang w:val="en-GB"/>
        </w:rPr>
        <w:t xml:space="preserve">Small satellite user space stations are planned for </w:t>
      </w:r>
      <w:proofErr w:type="gramStart"/>
      <w:r w:rsidRPr="00E43DD7">
        <w:rPr>
          <w:bCs/>
          <w:lang w:val="en-GB"/>
        </w:rPr>
        <w:t>a number of</w:t>
      </w:r>
      <w:proofErr w:type="gramEnd"/>
      <w:r w:rsidRPr="00E43DD7">
        <w:rPr>
          <w:bCs/>
          <w:lang w:val="en-GB"/>
        </w:rPr>
        <w:t xml:space="preserve"> </w:t>
      </w:r>
      <w:r w:rsidR="00630DA2" w:rsidRPr="00E43DD7">
        <w:rPr>
          <w:bCs/>
          <w:lang w:val="en-GB"/>
        </w:rPr>
        <w:t>applications</w:t>
      </w:r>
      <w:r w:rsidRPr="00E43DD7">
        <w:rPr>
          <w:bCs/>
          <w:lang w:val="en-GB"/>
        </w:rPr>
        <w:t>, including:</w:t>
      </w:r>
    </w:p>
    <w:p w14:paraId="5FF16A4A" w14:textId="7C262442" w:rsidR="00A1017E" w:rsidRPr="00E43DD7" w:rsidRDefault="00A1017E" w:rsidP="0097627D">
      <w:pPr>
        <w:pStyle w:val="ListParagraph"/>
        <w:numPr>
          <w:ilvl w:val="0"/>
          <w:numId w:val="4"/>
        </w:numPr>
        <w:shd w:val="clear" w:color="auto" w:fill="FFFFFF"/>
        <w:spacing w:before="100" w:beforeAutospacing="1" w:after="100" w:afterAutospacing="1"/>
        <w:rPr>
          <w:color w:val="242424"/>
        </w:rPr>
      </w:pPr>
      <w:r w:rsidRPr="00E43DD7">
        <w:rPr>
          <w:color w:val="242424"/>
        </w:rPr>
        <w:t>Scientific purposes</w:t>
      </w:r>
    </w:p>
    <w:p w14:paraId="485F259B" w14:textId="77777777" w:rsidR="00A1017E" w:rsidRPr="00E43DD7" w:rsidRDefault="00A1017E" w:rsidP="0097627D">
      <w:pPr>
        <w:pStyle w:val="ListParagraph"/>
        <w:numPr>
          <w:ilvl w:val="0"/>
          <w:numId w:val="4"/>
        </w:numPr>
        <w:shd w:val="clear" w:color="auto" w:fill="FFFFFF"/>
        <w:spacing w:before="100" w:beforeAutospacing="1" w:after="100" w:afterAutospacing="1"/>
        <w:rPr>
          <w:color w:val="242424"/>
        </w:rPr>
      </w:pPr>
      <w:r w:rsidRPr="00E43DD7">
        <w:rPr>
          <w:color w:val="242424"/>
        </w:rPr>
        <w:t>Transmission of orbital information</w:t>
      </w:r>
    </w:p>
    <w:p w14:paraId="2A80545B" w14:textId="03394D82" w:rsidR="00A1017E" w:rsidRPr="00E43DD7" w:rsidRDefault="00A1017E" w:rsidP="0097627D">
      <w:pPr>
        <w:pStyle w:val="ListParagraph"/>
        <w:numPr>
          <w:ilvl w:val="0"/>
          <w:numId w:val="4"/>
        </w:numPr>
        <w:shd w:val="clear" w:color="auto" w:fill="FFFFFF"/>
        <w:spacing w:before="100" w:beforeAutospacing="1" w:after="100" w:afterAutospacing="1"/>
        <w:rPr>
          <w:color w:val="242424"/>
        </w:rPr>
      </w:pPr>
      <w:r w:rsidRPr="00E43DD7">
        <w:rPr>
          <w:color w:val="242424"/>
        </w:rPr>
        <w:t>Orbital tracking</w:t>
      </w:r>
    </w:p>
    <w:p w14:paraId="1830F703" w14:textId="6BE3784B" w:rsidR="00A1017E" w:rsidRPr="00E43DD7" w:rsidRDefault="00A1017E" w:rsidP="0097627D">
      <w:pPr>
        <w:pStyle w:val="ListParagraph"/>
        <w:numPr>
          <w:ilvl w:val="0"/>
          <w:numId w:val="4"/>
        </w:numPr>
        <w:shd w:val="clear" w:color="auto" w:fill="FFFFFF"/>
        <w:spacing w:before="100" w:beforeAutospacing="1" w:after="100" w:afterAutospacing="1"/>
        <w:rPr>
          <w:color w:val="242424"/>
        </w:rPr>
      </w:pPr>
      <w:r w:rsidRPr="00E43DD7">
        <w:rPr>
          <w:color w:val="242424"/>
        </w:rPr>
        <w:t>Weather observation</w:t>
      </w:r>
    </w:p>
    <w:p w14:paraId="62A8046E" w14:textId="2390DC3F" w:rsidR="00630DA2" w:rsidRPr="00E43DD7" w:rsidRDefault="00630DA2" w:rsidP="00630DA2">
      <w:pPr>
        <w:pStyle w:val="ListParagraph"/>
        <w:numPr>
          <w:ilvl w:val="0"/>
          <w:numId w:val="4"/>
        </w:numPr>
        <w:shd w:val="clear" w:color="auto" w:fill="FFFFFF"/>
        <w:spacing w:before="100" w:beforeAutospacing="1" w:after="100" w:afterAutospacing="1"/>
        <w:rPr>
          <w:color w:val="242424"/>
        </w:rPr>
      </w:pPr>
      <w:r w:rsidRPr="00E43DD7">
        <w:rPr>
          <w:color w:val="242424"/>
        </w:rPr>
        <w:t>Commercial</w:t>
      </w:r>
    </w:p>
    <w:p w14:paraId="7984BAF4" w14:textId="1588C9E4" w:rsidR="00CE2A97" w:rsidRPr="00E43DD7" w:rsidRDefault="00CE2A97" w:rsidP="003A17B7">
      <w:pPr>
        <w:shd w:val="clear" w:color="auto" w:fill="FFFFFF"/>
        <w:spacing w:before="100" w:beforeAutospacing="1" w:after="100" w:afterAutospacing="1"/>
        <w:rPr>
          <w:color w:val="242424"/>
        </w:rPr>
      </w:pPr>
      <w:r w:rsidRPr="00E43DD7">
        <w:rPr>
          <w:color w:val="242424"/>
        </w:rPr>
        <w:t>These applications are increasingly being deployed for a wide range of applications such as scientific research, transmission of orbital information, orbital tracking, weather observation, and various commercial endeavors. These missions often involve experiments to test survivability and functionality of onboard components, such as retroreflector arrays for optical communication, GPS receivers for precise positional information, and advanced communication suites for data transmission. Additionally, they aim to develop identification and precision tracking capabilities for enhanced space situational awareness, test propulsion systems, and validate radar technologies for weather remote sensing. The use of mobile-satellite service (MSS) systems is a common thread among these missions, enabling continuous contact with ground stations, supporting command and control operations, and facilitating low-latency, low-data rate communications.</w:t>
      </w:r>
    </w:p>
    <w:p w14:paraId="2B8C2A50" w14:textId="77777777" w:rsidR="001D75F7" w:rsidRPr="00E43DD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lang w:val="en-GB"/>
        </w:rPr>
      </w:pPr>
      <w:r w:rsidRPr="00E43DD7">
        <w:rPr>
          <w:b/>
          <w:lang w:val="en-GB"/>
        </w:rPr>
        <w:t>2.2</w:t>
      </w:r>
      <w:r w:rsidRPr="00E43DD7">
        <w:rPr>
          <w:b/>
          <w:lang w:val="en-GB"/>
        </w:rPr>
        <w:tab/>
        <w:t>Small LEO satellites</w:t>
      </w:r>
    </w:p>
    <w:p w14:paraId="3B400DF6" w14:textId="6CF91A87" w:rsidR="001D75F7" w:rsidRPr="00E43DD7" w:rsidRDefault="001D75F7" w:rsidP="001D75F7">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 xml:space="preserve">In addition to </w:t>
      </w:r>
      <w:proofErr w:type="spellStart"/>
      <w:r w:rsidR="00A82467" w:rsidRPr="00E43DD7">
        <w:rPr>
          <w:lang w:val="en-GB"/>
        </w:rPr>
        <w:t>cubesats</w:t>
      </w:r>
      <w:proofErr w:type="spellEnd"/>
      <w:r w:rsidRPr="00E43DD7">
        <w:rPr>
          <w:lang w:val="en-GB"/>
        </w:rPr>
        <w:t>, other LEO satellites make use of space-to-space links in the MSS to provide a communications link between spacecraft and ground.</w:t>
      </w:r>
    </w:p>
    <w:p w14:paraId="23647A79" w14:textId="77777777" w:rsidR="001D75F7" w:rsidRPr="00E43DD7" w:rsidRDefault="001D75F7" w:rsidP="001D75F7">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As an example, this application could be of particular interest to operators of scientific, weather forecasting, earth observation and imaging missions which have a requirement to transmit the data collected by the payload sensors from space to ground.  There is sometimes a requirement for the data to be transferred within minutes of acquisition which can be accomplished due to the near global coverage provided by some MSS systems.  Space-to-space links could also be used to provide telemetry, tracking and command communications to and from the spacecraft.</w:t>
      </w:r>
    </w:p>
    <w:p w14:paraId="60BB4135" w14:textId="22530023" w:rsid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lang w:val="en-GB"/>
        </w:rPr>
      </w:pPr>
      <w:r w:rsidRPr="00E43DD7">
        <w:rPr>
          <w:b/>
          <w:lang w:val="en-GB"/>
        </w:rPr>
        <w:t>3</w:t>
      </w:r>
      <w:r w:rsidRPr="00E43DD7">
        <w:rPr>
          <w:b/>
          <w:lang w:val="en-GB"/>
        </w:rPr>
        <w:tab/>
      </w:r>
      <w:r w:rsidR="00C66E15" w:rsidRPr="00E43DD7">
        <w:rPr>
          <w:b/>
          <w:lang w:val="en-GB"/>
        </w:rPr>
        <w:t>System C</w:t>
      </w:r>
      <w:r w:rsidRPr="00E43DD7">
        <w:rPr>
          <w:b/>
          <w:lang w:val="en-GB"/>
        </w:rPr>
        <w:t>haracteristics</w:t>
      </w:r>
    </w:p>
    <w:p w14:paraId="3956152E" w14:textId="2EE5A972" w:rsidR="00E43DD7" w:rsidRDefault="002F2797" w:rsidP="00980DD5">
      <w:pPr>
        <w:keepNext/>
        <w:keepLines/>
        <w:tabs>
          <w:tab w:val="left" w:pos="0"/>
          <w:tab w:val="left" w:pos="1871"/>
          <w:tab w:val="left" w:pos="2268"/>
        </w:tabs>
        <w:overflowPunct w:val="0"/>
        <w:autoSpaceDE w:val="0"/>
        <w:autoSpaceDN w:val="0"/>
        <w:adjustRightInd w:val="0"/>
        <w:spacing w:before="280"/>
        <w:textAlignment w:val="baseline"/>
        <w:outlineLvl w:val="0"/>
        <w:rPr>
          <w:bCs/>
          <w:lang w:val="en-GB"/>
        </w:rPr>
      </w:pPr>
      <w:r>
        <w:rPr>
          <w:bCs/>
          <w:lang w:val="en-GB"/>
        </w:rPr>
        <w:t>System Characteristics for studies are given below. Qualitative descriptions of service provider systems are given in Annex A.</w:t>
      </w:r>
    </w:p>
    <w:p w14:paraId="7C61D0B0" w14:textId="77777777" w:rsidR="002F2797" w:rsidRDefault="002F279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Cs/>
          <w:lang w:val="en-GB"/>
        </w:rPr>
      </w:pPr>
    </w:p>
    <w:p w14:paraId="30F2A18D" w14:textId="77777777" w:rsidR="00C66E15" w:rsidRPr="00980DD5" w:rsidRDefault="00C66E15" w:rsidP="00C66E15">
      <w:pPr>
        <w:shd w:val="clear" w:color="auto" w:fill="FFFFFF"/>
        <w:textAlignment w:val="baseline"/>
        <w:rPr>
          <w:b/>
          <w:bCs/>
          <w:color w:val="000000"/>
        </w:rPr>
      </w:pPr>
      <w:r w:rsidRPr="00980DD5">
        <w:rPr>
          <w:b/>
          <w:bCs/>
          <w:color w:val="000000"/>
        </w:rPr>
        <w:t>3.1 GSO</w:t>
      </w:r>
    </w:p>
    <w:p w14:paraId="2D7DD46B" w14:textId="77777777" w:rsidR="00E43DD7" w:rsidRDefault="00E43DD7" w:rsidP="00C66E15">
      <w:pPr>
        <w:shd w:val="clear" w:color="auto" w:fill="FFFFFF"/>
        <w:textAlignment w:val="baseline"/>
        <w:rPr>
          <w:color w:val="000000"/>
        </w:rPr>
      </w:pPr>
    </w:p>
    <w:p w14:paraId="18112152" w14:textId="77777777" w:rsidR="00E43DD7" w:rsidRPr="00980DD5" w:rsidRDefault="00E43DD7" w:rsidP="00C66E15">
      <w:pPr>
        <w:shd w:val="clear" w:color="auto" w:fill="FFFFFF"/>
        <w:textAlignment w:val="baseline"/>
        <w:rPr>
          <w:color w:val="000000"/>
        </w:rPr>
      </w:pPr>
    </w:p>
    <w:p w14:paraId="4E3681D2" w14:textId="77777777" w:rsidR="00C66E15" w:rsidRPr="00980DD5" w:rsidRDefault="00C66E15" w:rsidP="00C66E15">
      <w:pPr>
        <w:shd w:val="clear" w:color="auto" w:fill="FFFFFF"/>
        <w:textAlignment w:val="baseline"/>
        <w:rPr>
          <w:b/>
          <w:bCs/>
          <w:color w:val="000000"/>
        </w:rPr>
      </w:pPr>
      <w:r w:rsidRPr="00980DD5">
        <w:rPr>
          <w:b/>
          <w:bCs/>
          <w:color w:val="000000"/>
        </w:rPr>
        <w:t>3.1.1 GSO MSS Service Provider Characteristics</w:t>
      </w:r>
    </w:p>
    <w:p w14:paraId="5CE2DCED" w14:textId="77777777" w:rsidR="00E43DD7" w:rsidRDefault="00E43DD7" w:rsidP="00E43DD7">
      <w:pPr>
        <w:shd w:val="clear" w:color="auto" w:fill="FFFFFF"/>
        <w:textAlignment w:val="baseline"/>
        <w:rPr>
          <w:color w:val="000000"/>
        </w:rPr>
      </w:pPr>
    </w:p>
    <w:p w14:paraId="1295EDCC" w14:textId="77777777" w:rsidR="00BD5912" w:rsidRPr="00E43DD7" w:rsidRDefault="00BD5912" w:rsidP="005F5D05">
      <w:pPr>
        <w:pStyle w:val="Heading2"/>
        <w:tabs>
          <w:tab w:val="clear" w:pos="1134"/>
          <w:tab w:val="left" w:pos="0"/>
        </w:tabs>
        <w:ind w:left="0" w:firstLine="0"/>
        <w:rPr>
          <w:szCs w:val="24"/>
        </w:rPr>
      </w:pPr>
      <w:r w:rsidRPr="00E43DD7">
        <w:rPr>
          <w:szCs w:val="24"/>
        </w:rPr>
        <w:lastRenderedPageBreak/>
        <w:t>MSS Characteristics and Protection Requirements in the frequency bands 1518-1559 MHz, 1626.5-1660.5 MHz, and 1668-1675 MHz</w:t>
      </w:r>
    </w:p>
    <w:p w14:paraId="1CD06EB2" w14:textId="77777777" w:rsidR="00BD5912" w:rsidRPr="00E43DD7" w:rsidRDefault="00BD5912" w:rsidP="00BD5912">
      <w:pPr>
        <w:rPr>
          <w:lang w:val="en-GB"/>
        </w:rPr>
      </w:pPr>
    </w:p>
    <w:p w14:paraId="0333765D" w14:textId="77777777" w:rsidR="00BD5912" w:rsidRPr="00E43DD7" w:rsidRDefault="00BD5912" w:rsidP="00BD5912">
      <w:pPr>
        <w:rPr>
          <w:lang w:val="en-GB"/>
        </w:rPr>
      </w:pPr>
      <w:r w:rsidRPr="00E43DD7">
        <w:rPr>
          <w:lang w:val="en-GB"/>
        </w:rPr>
        <w:t>For any sharing and protection studies for the coexistence of existing GSO MSS services with any new MSS space links allocations, the following GSO MSS characteristics for different terminals, from ITU-R M.1184, can be used:</w:t>
      </w:r>
    </w:p>
    <w:p w14:paraId="68507D23" w14:textId="77777777" w:rsidR="00BD5912" w:rsidRPr="00E43DD7" w:rsidRDefault="00BD5912" w:rsidP="00BD5912">
      <w:pPr>
        <w:rPr>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274"/>
        <w:gridCol w:w="1212"/>
        <w:gridCol w:w="1064"/>
        <w:gridCol w:w="1030"/>
        <w:gridCol w:w="1167"/>
        <w:gridCol w:w="1294"/>
        <w:gridCol w:w="894"/>
      </w:tblGrid>
      <w:tr w:rsidR="00BD5912" w:rsidRPr="00A80E29" w14:paraId="553E65C7" w14:textId="77777777" w:rsidTr="003B22AF">
        <w:trPr>
          <w:cantSplit/>
          <w:trHeight w:val="363"/>
        </w:trPr>
        <w:tc>
          <w:tcPr>
            <w:tcW w:w="757" w:type="pct"/>
            <w:vMerge w:val="restart"/>
          </w:tcPr>
          <w:p w14:paraId="72DDA020" w14:textId="77777777" w:rsidR="00BD5912" w:rsidRPr="00A80E29" w:rsidRDefault="00BD5912" w:rsidP="003B22AF">
            <w:pPr>
              <w:pStyle w:val="Tablehead"/>
              <w:keepLines/>
              <w:spacing w:before="20" w:after="20"/>
              <w:jc w:val="left"/>
              <w:rPr>
                <w:sz w:val="20"/>
              </w:rPr>
            </w:pPr>
          </w:p>
        </w:tc>
        <w:tc>
          <w:tcPr>
            <w:tcW w:w="681" w:type="pct"/>
            <w:vMerge w:val="restart"/>
            <w:vAlign w:val="center"/>
          </w:tcPr>
          <w:p w14:paraId="3B54D87F" w14:textId="77777777" w:rsidR="00BD5912" w:rsidRPr="00A80E29" w:rsidRDefault="00BD5912" w:rsidP="003B22AF">
            <w:pPr>
              <w:pStyle w:val="Tablehead"/>
              <w:keepLines/>
              <w:spacing w:before="20" w:after="20"/>
              <w:rPr>
                <w:sz w:val="20"/>
                <w:lang w:val="es-ES_tradnl"/>
              </w:rPr>
            </w:pPr>
            <w:r w:rsidRPr="00A80E29">
              <w:rPr>
                <w:sz w:val="20"/>
                <w:lang w:val="es-ES_tradnl"/>
              </w:rPr>
              <w:t>C</w:t>
            </w:r>
          </w:p>
        </w:tc>
        <w:tc>
          <w:tcPr>
            <w:tcW w:w="1216" w:type="pct"/>
            <w:gridSpan w:val="2"/>
            <w:vAlign w:val="center"/>
          </w:tcPr>
          <w:p w14:paraId="41025721" w14:textId="77777777" w:rsidR="00BD5912" w:rsidRPr="00A80E29" w:rsidRDefault="00BD5912" w:rsidP="003B22AF">
            <w:pPr>
              <w:pStyle w:val="Tablehead"/>
              <w:keepLines/>
              <w:spacing w:before="20" w:after="20"/>
              <w:rPr>
                <w:sz w:val="20"/>
                <w:lang w:val="es-ES_tradnl"/>
              </w:rPr>
            </w:pPr>
            <w:proofErr w:type="spellStart"/>
            <w:r w:rsidRPr="00A80E29">
              <w:rPr>
                <w:sz w:val="20"/>
                <w:lang w:val="es-ES_tradnl"/>
              </w:rPr>
              <w:t>Land</w:t>
            </w:r>
            <w:proofErr w:type="spellEnd"/>
            <w:r w:rsidRPr="00A80E29">
              <w:rPr>
                <w:sz w:val="20"/>
                <w:lang w:val="es-ES_tradnl"/>
              </w:rPr>
              <w:t xml:space="preserve"> </w:t>
            </w:r>
          </w:p>
        </w:tc>
        <w:tc>
          <w:tcPr>
            <w:tcW w:w="1175" w:type="pct"/>
            <w:gridSpan w:val="2"/>
            <w:vAlign w:val="center"/>
          </w:tcPr>
          <w:p w14:paraId="11D56269" w14:textId="77777777" w:rsidR="00BD5912" w:rsidRPr="00A80E29" w:rsidRDefault="00BD5912" w:rsidP="003B22AF">
            <w:pPr>
              <w:pStyle w:val="Tablehead"/>
              <w:keepLines/>
              <w:spacing w:before="20" w:after="20"/>
              <w:rPr>
                <w:sz w:val="20"/>
                <w:lang w:val="es-ES_tradnl"/>
              </w:rPr>
            </w:pPr>
            <w:r w:rsidRPr="00A80E29">
              <w:rPr>
                <w:sz w:val="20"/>
                <w:lang w:val="es-ES_tradnl"/>
              </w:rPr>
              <w:t xml:space="preserve">Maritime </w:t>
            </w:r>
          </w:p>
        </w:tc>
        <w:tc>
          <w:tcPr>
            <w:tcW w:w="1171" w:type="pct"/>
            <w:gridSpan w:val="2"/>
          </w:tcPr>
          <w:p w14:paraId="422D0C51" w14:textId="77777777" w:rsidR="00BD5912" w:rsidRPr="00A80E29" w:rsidRDefault="00BD5912" w:rsidP="003B22AF">
            <w:pPr>
              <w:pStyle w:val="Tablehead"/>
              <w:keepLines/>
              <w:rPr>
                <w:sz w:val="20"/>
                <w:lang w:val="en-US"/>
              </w:rPr>
            </w:pPr>
            <w:r w:rsidRPr="00A80E29">
              <w:rPr>
                <w:sz w:val="20"/>
                <w:lang w:val="en-US"/>
              </w:rPr>
              <w:t>Aeronautical</w:t>
            </w:r>
          </w:p>
        </w:tc>
      </w:tr>
      <w:tr w:rsidR="00BD5912" w:rsidRPr="00A80E29" w14:paraId="23DEC547" w14:textId="77777777" w:rsidTr="003B22AF">
        <w:trPr>
          <w:cantSplit/>
          <w:trHeight w:val="134"/>
        </w:trPr>
        <w:tc>
          <w:tcPr>
            <w:tcW w:w="757" w:type="pct"/>
            <w:vMerge/>
          </w:tcPr>
          <w:p w14:paraId="55D361C7" w14:textId="77777777" w:rsidR="00BD5912" w:rsidRPr="00A80E29" w:rsidRDefault="00BD5912" w:rsidP="003B22AF">
            <w:pPr>
              <w:pStyle w:val="Tablehead"/>
              <w:keepLines/>
              <w:spacing w:before="20" w:after="20"/>
              <w:jc w:val="left"/>
              <w:rPr>
                <w:sz w:val="20"/>
                <w:lang w:val="en-US"/>
              </w:rPr>
            </w:pPr>
          </w:p>
        </w:tc>
        <w:tc>
          <w:tcPr>
            <w:tcW w:w="681" w:type="pct"/>
            <w:vMerge/>
          </w:tcPr>
          <w:p w14:paraId="295AEB02" w14:textId="77777777" w:rsidR="00BD5912" w:rsidRPr="00A80E29" w:rsidRDefault="00BD5912" w:rsidP="003B22AF">
            <w:pPr>
              <w:pStyle w:val="Tablehead"/>
              <w:keepLines/>
              <w:spacing w:before="20" w:after="20"/>
              <w:rPr>
                <w:sz w:val="20"/>
                <w:lang w:val="en-US"/>
              </w:rPr>
            </w:pPr>
          </w:p>
        </w:tc>
        <w:tc>
          <w:tcPr>
            <w:tcW w:w="648" w:type="pct"/>
          </w:tcPr>
          <w:p w14:paraId="1FF66BCB" w14:textId="77777777" w:rsidR="00BD5912" w:rsidRPr="00A80E29" w:rsidRDefault="00BD5912" w:rsidP="003B22AF">
            <w:pPr>
              <w:pStyle w:val="Tablehead"/>
              <w:keepLines/>
              <w:spacing w:before="20" w:after="20"/>
              <w:rPr>
                <w:sz w:val="20"/>
                <w:lang w:val="en-US"/>
              </w:rPr>
            </w:pPr>
            <w:r w:rsidRPr="00A80E29">
              <w:rPr>
                <w:sz w:val="20"/>
                <w:lang w:val="en-US"/>
              </w:rPr>
              <w:t>High gain</w:t>
            </w:r>
          </w:p>
        </w:tc>
        <w:tc>
          <w:tcPr>
            <w:tcW w:w="569" w:type="pct"/>
          </w:tcPr>
          <w:p w14:paraId="4B9209D6" w14:textId="77777777" w:rsidR="00BD5912" w:rsidRPr="00A80E29" w:rsidRDefault="00BD5912" w:rsidP="003B22AF">
            <w:pPr>
              <w:pStyle w:val="Tablehead"/>
              <w:keepLines/>
              <w:spacing w:before="20" w:after="20"/>
              <w:rPr>
                <w:sz w:val="20"/>
                <w:lang w:val="en-US"/>
              </w:rPr>
            </w:pPr>
            <w:r w:rsidRPr="00A80E29">
              <w:rPr>
                <w:sz w:val="20"/>
                <w:lang w:val="en-US"/>
              </w:rPr>
              <w:t>Low gain</w:t>
            </w:r>
          </w:p>
        </w:tc>
        <w:tc>
          <w:tcPr>
            <w:tcW w:w="551" w:type="pct"/>
          </w:tcPr>
          <w:p w14:paraId="3C902E55" w14:textId="77777777" w:rsidR="00BD5912" w:rsidRPr="00A80E29" w:rsidRDefault="00BD5912" w:rsidP="003B22AF">
            <w:pPr>
              <w:pStyle w:val="Tablehead"/>
              <w:keepLines/>
              <w:spacing w:before="20" w:after="20"/>
              <w:rPr>
                <w:sz w:val="20"/>
                <w:lang w:val="en-US"/>
              </w:rPr>
            </w:pPr>
            <w:r w:rsidRPr="00A80E29">
              <w:rPr>
                <w:sz w:val="20"/>
                <w:lang w:val="en-US"/>
              </w:rPr>
              <w:t>High gain</w:t>
            </w:r>
          </w:p>
        </w:tc>
        <w:tc>
          <w:tcPr>
            <w:tcW w:w="624" w:type="pct"/>
          </w:tcPr>
          <w:p w14:paraId="024E59AF" w14:textId="77777777" w:rsidR="00BD5912" w:rsidRPr="00A80E29" w:rsidRDefault="00BD5912" w:rsidP="003B22AF">
            <w:pPr>
              <w:pStyle w:val="Tablehead"/>
              <w:keepLines/>
              <w:spacing w:before="20" w:after="20"/>
              <w:rPr>
                <w:sz w:val="20"/>
                <w:lang w:val="en-US"/>
              </w:rPr>
            </w:pPr>
            <w:r w:rsidRPr="00A80E29">
              <w:rPr>
                <w:sz w:val="20"/>
                <w:lang w:val="en-US"/>
              </w:rPr>
              <w:t>Low gain</w:t>
            </w:r>
          </w:p>
        </w:tc>
        <w:tc>
          <w:tcPr>
            <w:tcW w:w="692" w:type="pct"/>
          </w:tcPr>
          <w:p w14:paraId="12D34A25" w14:textId="77777777" w:rsidR="00BD5912" w:rsidRPr="00A80E29" w:rsidRDefault="00BD5912" w:rsidP="003B22AF">
            <w:pPr>
              <w:pStyle w:val="Tablehead"/>
              <w:keepLines/>
              <w:rPr>
                <w:sz w:val="20"/>
                <w:lang w:val="en-US"/>
              </w:rPr>
            </w:pPr>
            <w:r w:rsidRPr="00A80E29">
              <w:rPr>
                <w:sz w:val="20"/>
                <w:lang w:val="en-US"/>
              </w:rPr>
              <w:t>High gain</w:t>
            </w:r>
          </w:p>
        </w:tc>
        <w:tc>
          <w:tcPr>
            <w:tcW w:w="479" w:type="pct"/>
          </w:tcPr>
          <w:p w14:paraId="4ED0306E" w14:textId="77777777" w:rsidR="00BD5912" w:rsidRPr="00A80E29" w:rsidRDefault="00BD5912" w:rsidP="003B22AF">
            <w:pPr>
              <w:pStyle w:val="Tablehead"/>
              <w:keepLines/>
              <w:rPr>
                <w:sz w:val="20"/>
                <w:lang w:val="en-US"/>
              </w:rPr>
            </w:pPr>
            <w:r w:rsidRPr="00A80E29">
              <w:rPr>
                <w:sz w:val="20"/>
                <w:lang w:val="en-US"/>
              </w:rPr>
              <w:t>Low gain</w:t>
            </w:r>
          </w:p>
        </w:tc>
      </w:tr>
      <w:tr w:rsidR="00BD5912" w:rsidRPr="00A80E29" w14:paraId="7AE5EA50" w14:textId="77777777" w:rsidTr="003B22AF">
        <w:trPr>
          <w:cantSplit/>
          <w:trHeight w:val="503"/>
        </w:trPr>
        <w:tc>
          <w:tcPr>
            <w:tcW w:w="757" w:type="pct"/>
          </w:tcPr>
          <w:p w14:paraId="3442FC0D" w14:textId="77777777" w:rsidR="00BD5912" w:rsidRPr="00A80E29" w:rsidRDefault="00BD5912" w:rsidP="003B22AF">
            <w:pPr>
              <w:pStyle w:val="Tabletext"/>
              <w:keepNext/>
              <w:keepLines/>
              <w:spacing w:before="20" w:after="20"/>
              <w:rPr>
                <w:sz w:val="20"/>
                <w:lang w:val="en-US"/>
              </w:rPr>
            </w:pPr>
            <w:r w:rsidRPr="00A80E29">
              <w:rPr>
                <w:sz w:val="20"/>
              </w:rPr>
              <w:t>Service</w:t>
            </w:r>
          </w:p>
        </w:tc>
        <w:tc>
          <w:tcPr>
            <w:tcW w:w="681" w:type="pct"/>
          </w:tcPr>
          <w:p w14:paraId="08CC4E9A" w14:textId="77777777" w:rsidR="00BD5912" w:rsidRPr="00A80E29" w:rsidRDefault="00BD5912" w:rsidP="003B22AF">
            <w:pPr>
              <w:pStyle w:val="Tabletext"/>
              <w:keepNext/>
              <w:keepLines/>
              <w:jc w:val="center"/>
              <w:rPr>
                <w:sz w:val="20"/>
                <w:lang w:val="en-US"/>
              </w:rPr>
            </w:pPr>
            <w:r w:rsidRPr="00A80E29">
              <w:rPr>
                <w:sz w:val="20"/>
                <w:lang w:val="en-US"/>
              </w:rPr>
              <w:t>MMSS</w:t>
            </w:r>
          </w:p>
        </w:tc>
        <w:tc>
          <w:tcPr>
            <w:tcW w:w="648" w:type="pct"/>
          </w:tcPr>
          <w:p w14:paraId="20F00F30" w14:textId="77777777" w:rsidR="00BD5912" w:rsidRPr="00A80E29" w:rsidRDefault="00BD5912" w:rsidP="003B22AF">
            <w:pPr>
              <w:pStyle w:val="Tabletext"/>
              <w:keepNext/>
              <w:keepLines/>
              <w:jc w:val="center"/>
              <w:rPr>
                <w:sz w:val="20"/>
                <w:lang w:val="en-US"/>
              </w:rPr>
            </w:pPr>
            <w:r w:rsidRPr="00A80E29">
              <w:rPr>
                <w:sz w:val="20"/>
                <w:lang w:val="en-US"/>
              </w:rPr>
              <w:t>LMSS</w:t>
            </w:r>
          </w:p>
        </w:tc>
        <w:tc>
          <w:tcPr>
            <w:tcW w:w="569" w:type="pct"/>
          </w:tcPr>
          <w:p w14:paraId="3483627B" w14:textId="77777777" w:rsidR="00BD5912" w:rsidRPr="00A80E29" w:rsidRDefault="00BD5912" w:rsidP="003B22AF">
            <w:pPr>
              <w:pStyle w:val="Tabletext"/>
              <w:keepNext/>
              <w:keepLines/>
              <w:jc w:val="center"/>
              <w:rPr>
                <w:sz w:val="20"/>
                <w:lang w:val="en-US"/>
              </w:rPr>
            </w:pPr>
            <w:r w:rsidRPr="00A80E29">
              <w:rPr>
                <w:sz w:val="20"/>
                <w:lang w:val="en-US"/>
              </w:rPr>
              <w:t>LMSS</w:t>
            </w:r>
          </w:p>
        </w:tc>
        <w:tc>
          <w:tcPr>
            <w:tcW w:w="551" w:type="pct"/>
          </w:tcPr>
          <w:p w14:paraId="2F65CB72" w14:textId="77777777" w:rsidR="00BD5912" w:rsidRPr="00A80E29" w:rsidRDefault="00BD5912" w:rsidP="003B22AF">
            <w:pPr>
              <w:pStyle w:val="Tabletext"/>
              <w:keepNext/>
              <w:keepLines/>
              <w:jc w:val="center"/>
              <w:rPr>
                <w:sz w:val="20"/>
                <w:lang w:val="en-US"/>
              </w:rPr>
            </w:pPr>
            <w:r w:rsidRPr="00A80E29">
              <w:rPr>
                <w:sz w:val="20"/>
                <w:lang w:val="en-US"/>
              </w:rPr>
              <w:t>MMSS</w:t>
            </w:r>
          </w:p>
        </w:tc>
        <w:tc>
          <w:tcPr>
            <w:tcW w:w="624" w:type="pct"/>
          </w:tcPr>
          <w:p w14:paraId="6F3AA82E" w14:textId="77777777" w:rsidR="00BD5912" w:rsidRPr="00A80E29" w:rsidRDefault="00BD5912" w:rsidP="003B22AF">
            <w:pPr>
              <w:pStyle w:val="Tabletext"/>
              <w:keepNext/>
              <w:keepLines/>
              <w:jc w:val="center"/>
              <w:rPr>
                <w:sz w:val="20"/>
                <w:lang w:val="en-US"/>
              </w:rPr>
            </w:pPr>
            <w:r w:rsidRPr="00A80E29">
              <w:rPr>
                <w:sz w:val="20"/>
                <w:lang w:val="en-US"/>
              </w:rPr>
              <w:t>MMSS</w:t>
            </w:r>
          </w:p>
        </w:tc>
        <w:tc>
          <w:tcPr>
            <w:tcW w:w="692" w:type="pct"/>
            <w:vAlign w:val="center"/>
          </w:tcPr>
          <w:p w14:paraId="3852EFC3" w14:textId="77777777" w:rsidR="00BD5912" w:rsidRPr="00A80E29" w:rsidRDefault="00BD5912" w:rsidP="003B22AF">
            <w:pPr>
              <w:pStyle w:val="Tabletext"/>
              <w:keepNext/>
              <w:keepLines/>
              <w:jc w:val="center"/>
              <w:rPr>
                <w:sz w:val="20"/>
                <w:lang w:val="en-US"/>
              </w:rPr>
            </w:pPr>
            <w:r w:rsidRPr="00A80E29">
              <w:rPr>
                <w:sz w:val="20"/>
                <w:lang w:val="en-US"/>
              </w:rPr>
              <w:t>AMSS</w:t>
            </w:r>
            <w:r w:rsidRPr="00A80E29">
              <w:rPr>
                <w:sz w:val="20"/>
                <w:lang w:val="en-US"/>
              </w:rPr>
              <w:br/>
              <w:t>AMS(R)S</w:t>
            </w:r>
          </w:p>
        </w:tc>
        <w:tc>
          <w:tcPr>
            <w:tcW w:w="479" w:type="pct"/>
            <w:vAlign w:val="center"/>
          </w:tcPr>
          <w:p w14:paraId="60C4D9D7" w14:textId="77777777" w:rsidR="00BD5912" w:rsidRPr="00A80E29" w:rsidRDefault="00BD5912" w:rsidP="003B22AF">
            <w:pPr>
              <w:pStyle w:val="Tabletext"/>
              <w:keepNext/>
              <w:keepLines/>
              <w:jc w:val="center"/>
              <w:rPr>
                <w:sz w:val="20"/>
                <w:lang w:val="en-US"/>
              </w:rPr>
            </w:pPr>
            <w:r w:rsidRPr="00A80E29">
              <w:rPr>
                <w:sz w:val="20"/>
                <w:lang w:val="en-US"/>
              </w:rPr>
              <w:t>AMSS</w:t>
            </w:r>
            <w:r w:rsidRPr="00A80E29">
              <w:rPr>
                <w:sz w:val="20"/>
                <w:lang w:val="en-US"/>
              </w:rPr>
              <w:br/>
              <w:t>AMS(R)S</w:t>
            </w:r>
          </w:p>
        </w:tc>
      </w:tr>
      <w:tr w:rsidR="00BD5912" w:rsidRPr="00A80E29" w14:paraId="5EE4ECF8" w14:textId="77777777" w:rsidTr="003B22AF">
        <w:trPr>
          <w:cantSplit/>
          <w:trHeight w:val="680"/>
        </w:trPr>
        <w:tc>
          <w:tcPr>
            <w:tcW w:w="757" w:type="pct"/>
          </w:tcPr>
          <w:p w14:paraId="615AFDC4" w14:textId="77777777" w:rsidR="00BD5912" w:rsidRPr="00A80E29" w:rsidRDefault="00BD5912" w:rsidP="003B22AF">
            <w:pPr>
              <w:pStyle w:val="Tabletext"/>
              <w:keepNext/>
              <w:keepLines/>
              <w:spacing w:before="20" w:after="20"/>
              <w:rPr>
                <w:sz w:val="20"/>
              </w:rPr>
            </w:pPr>
            <w:proofErr w:type="spellStart"/>
            <w:r w:rsidRPr="00A80E29">
              <w:rPr>
                <w:sz w:val="20"/>
              </w:rPr>
              <w:t>Typical</w:t>
            </w:r>
            <w:proofErr w:type="spellEnd"/>
            <w:r w:rsidRPr="00A80E29">
              <w:rPr>
                <w:sz w:val="20"/>
              </w:rPr>
              <w:t xml:space="preserve"> mobile station </w:t>
            </w:r>
            <w:proofErr w:type="spellStart"/>
            <w:r w:rsidRPr="00A80E29">
              <w:rPr>
                <w:sz w:val="20"/>
              </w:rPr>
              <w:t>antenna</w:t>
            </w:r>
            <w:proofErr w:type="spellEnd"/>
            <w:r w:rsidRPr="00A80E29">
              <w:rPr>
                <w:sz w:val="20"/>
              </w:rPr>
              <w:t xml:space="preserve"> gain (</w:t>
            </w:r>
            <w:proofErr w:type="spellStart"/>
            <w:r w:rsidRPr="00A80E29">
              <w:rPr>
                <w:sz w:val="20"/>
              </w:rPr>
              <w:t>dBi</w:t>
            </w:r>
            <w:proofErr w:type="spellEnd"/>
            <w:r w:rsidRPr="00A80E29">
              <w:rPr>
                <w:sz w:val="20"/>
              </w:rPr>
              <w:t>)</w:t>
            </w:r>
          </w:p>
        </w:tc>
        <w:tc>
          <w:tcPr>
            <w:tcW w:w="681" w:type="pct"/>
          </w:tcPr>
          <w:p w14:paraId="7AC62808" w14:textId="77777777" w:rsidR="00BD5912" w:rsidRPr="00A80E29" w:rsidRDefault="00BD5912" w:rsidP="003B22AF">
            <w:pPr>
              <w:pStyle w:val="Tabletext"/>
              <w:keepNext/>
              <w:keepLines/>
              <w:spacing w:before="20" w:after="20"/>
              <w:jc w:val="center"/>
              <w:rPr>
                <w:sz w:val="20"/>
              </w:rPr>
            </w:pPr>
            <w:r w:rsidRPr="00A80E29">
              <w:rPr>
                <w:sz w:val="20"/>
              </w:rPr>
              <w:t>0</w:t>
            </w:r>
          </w:p>
        </w:tc>
        <w:tc>
          <w:tcPr>
            <w:tcW w:w="648" w:type="pct"/>
          </w:tcPr>
          <w:p w14:paraId="1EFAC753" w14:textId="77777777" w:rsidR="00BD5912" w:rsidRPr="00A80E29" w:rsidRDefault="00BD5912" w:rsidP="003B22AF">
            <w:pPr>
              <w:pStyle w:val="Tabletext"/>
              <w:keepNext/>
              <w:keepLines/>
              <w:spacing w:before="20" w:after="20"/>
              <w:jc w:val="center"/>
              <w:rPr>
                <w:sz w:val="20"/>
              </w:rPr>
            </w:pPr>
            <w:r w:rsidRPr="00A80E29">
              <w:rPr>
                <w:sz w:val="20"/>
              </w:rPr>
              <w:t>12</w:t>
            </w:r>
          </w:p>
        </w:tc>
        <w:tc>
          <w:tcPr>
            <w:tcW w:w="569" w:type="pct"/>
          </w:tcPr>
          <w:p w14:paraId="15BD7DEB" w14:textId="77777777" w:rsidR="00BD5912" w:rsidRPr="00A80E29" w:rsidRDefault="00BD5912" w:rsidP="003B22AF">
            <w:pPr>
              <w:pStyle w:val="Tabletext"/>
              <w:keepNext/>
              <w:keepLines/>
              <w:spacing w:before="20" w:after="20"/>
              <w:jc w:val="center"/>
              <w:rPr>
                <w:sz w:val="20"/>
              </w:rPr>
            </w:pPr>
            <w:r w:rsidRPr="00A80E29">
              <w:rPr>
                <w:sz w:val="20"/>
              </w:rPr>
              <w:t>9</w:t>
            </w:r>
          </w:p>
        </w:tc>
        <w:tc>
          <w:tcPr>
            <w:tcW w:w="551" w:type="pct"/>
          </w:tcPr>
          <w:p w14:paraId="21944DC8" w14:textId="77777777" w:rsidR="00BD5912" w:rsidRPr="00A80E29" w:rsidRDefault="00BD5912" w:rsidP="003B22AF">
            <w:pPr>
              <w:pStyle w:val="Tabletext"/>
              <w:keepNext/>
              <w:keepLines/>
              <w:spacing w:before="20" w:after="20"/>
              <w:jc w:val="center"/>
              <w:rPr>
                <w:sz w:val="20"/>
              </w:rPr>
            </w:pPr>
            <w:r w:rsidRPr="00A80E29">
              <w:rPr>
                <w:sz w:val="20"/>
              </w:rPr>
              <w:t>16</w:t>
            </w:r>
          </w:p>
        </w:tc>
        <w:tc>
          <w:tcPr>
            <w:tcW w:w="624" w:type="pct"/>
          </w:tcPr>
          <w:p w14:paraId="5178A7FB" w14:textId="77777777" w:rsidR="00BD5912" w:rsidRPr="00A80E29" w:rsidRDefault="00BD5912" w:rsidP="003B22AF">
            <w:pPr>
              <w:pStyle w:val="Tabletext"/>
              <w:keepNext/>
              <w:keepLines/>
              <w:spacing w:before="20" w:after="20"/>
              <w:jc w:val="center"/>
              <w:rPr>
                <w:sz w:val="20"/>
              </w:rPr>
            </w:pPr>
            <w:r w:rsidRPr="00A80E29">
              <w:rPr>
                <w:sz w:val="20"/>
              </w:rPr>
              <w:t>9</w:t>
            </w:r>
          </w:p>
        </w:tc>
        <w:tc>
          <w:tcPr>
            <w:tcW w:w="692" w:type="pct"/>
          </w:tcPr>
          <w:p w14:paraId="1CD1161D" w14:textId="77777777" w:rsidR="00BD5912" w:rsidRPr="00A80E29" w:rsidRDefault="00BD5912" w:rsidP="003B22AF">
            <w:pPr>
              <w:pStyle w:val="Tabletext"/>
              <w:keepNext/>
              <w:keepLines/>
              <w:spacing w:before="20" w:after="20"/>
              <w:jc w:val="center"/>
              <w:rPr>
                <w:sz w:val="20"/>
              </w:rPr>
            </w:pPr>
            <w:r w:rsidRPr="00A80E29">
              <w:rPr>
                <w:sz w:val="20"/>
              </w:rPr>
              <w:t>12</w:t>
            </w:r>
          </w:p>
        </w:tc>
        <w:tc>
          <w:tcPr>
            <w:tcW w:w="479" w:type="pct"/>
          </w:tcPr>
          <w:p w14:paraId="1C4A066B" w14:textId="77777777" w:rsidR="00BD5912" w:rsidRPr="00A80E29" w:rsidRDefault="00BD5912" w:rsidP="003B22AF">
            <w:pPr>
              <w:pStyle w:val="Tabletext"/>
              <w:keepNext/>
              <w:keepLines/>
              <w:spacing w:before="20" w:after="20"/>
              <w:jc w:val="center"/>
              <w:rPr>
                <w:sz w:val="20"/>
              </w:rPr>
            </w:pPr>
            <w:r w:rsidRPr="00A80E29">
              <w:rPr>
                <w:sz w:val="20"/>
              </w:rPr>
              <w:t>6</w:t>
            </w:r>
          </w:p>
        </w:tc>
      </w:tr>
      <w:tr w:rsidR="00BD5912" w:rsidRPr="00A80E29" w14:paraId="7868A65F" w14:textId="77777777" w:rsidTr="003B22AF">
        <w:trPr>
          <w:cantSplit/>
          <w:trHeight w:val="503"/>
        </w:trPr>
        <w:tc>
          <w:tcPr>
            <w:tcW w:w="757" w:type="pct"/>
          </w:tcPr>
          <w:p w14:paraId="0F63C57B" w14:textId="77777777" w:rsidR="00BD5912" w:rsidRPr="00A80E29" w:rsidRDefault="00BD5912" w:rsidP="003B22AF">
            <w:pPr>
              <w:pStyle w:val="Tabletext"/>
              <w:keepNext/>
              <w:keepLines/>
              <w:rPr>
                <w:sz w:val="20"/>
                <w:lang w:val="en-US"/>
              </w:rPr>
            </w:pPr>
            <w:r w:rsidRPr="00A80E29">
              <w:rPr>
                <w:sz w:val="20"/>
                <w:lang w:val="en-US"/>
              </w:rPr>
              <w:t>Antenna type (example)</w:t>
            </w:r>
          </w:p>
        </w:tc>
        <w:tc>
          <w:tcPr>
            <w:tcW w:w="681" w:type="pct"/>
          </w:tcPr>
          <w:p w14:paraId="019BBBEE" w14:textId="77777777" w:rsidR="00BD5912" w:rsidRPr="00A80E29" w:rsidRDefault="00BD5912" w:rsidP="003B22AF">
            <w:pPr>
              <w:pStyle w:val="Tabletext"/>
              <w:keepNext/>
              <w:keepLines/>
              <w:jc w:val="center"/>
              <w:rPr>
                <w:sz w:val="20"/>
                <w:lang w:val="en-US"/>
              </w:rPr>
            </w:pPr>
            <w:r w:rsidRPr="00A80E29">
              <w:rPr>
                <w:sz w:val="20"/>
                <w:lang w:val="en-US"/>
              </w:rPr>
              <w:t>Quad helix</w:t>
            </w:r>
          </w:p>
        </w:tc>
        <w:tc>
          <w:tcPr>
            <w:tcW w:w="648" w:type="pct"/>
          </w:tcPr>
          <w:p w14:paraId="4E854E6F" w14:textId="77777777" w:rsidR="00BD5912" w:rsidRPr="00A80E29" w:rsidRDefault="00BD5912" w:rsidP="003B22AF">
            <w:pPr>
              <w:pStyle w:val="Tabletext"/>
              <w:keepNext/>
              <w:keepLines/>
              <w:jc w:val="center"/>
              <w:rPr>
                <w:sz w:val="20"/>
                <w:lang w:val="en-US"/>
              </w:rPr>
            </w:pPr>
            <w:r w:rsidRPr="00A80E29">
              <w:rPr>
                <w:sz w:val="20"/>
                <w:lang w:val="en-US"/>
              </w:rPr>
              <w:t>Phased array</w:t>
            </w:r>
          </w:p>
        </w:tc>
        <w:tc>
          <w:tcPr>
            <w:tcW w:w="569" w:type="pct"/>
          </w:tcPr>
          <w:p w14:paraId="6B1EE246" w14:textId="77777777" w:rsidR="00BD5912" w:rsidRPr="00A80E29" w:rsidRDefault="00BD5912" w:rsidP="003B22AF">
            <w:pPr>
              <w:pStyle w:val="Tabletext"/>
              <w:keepNext/>
              <w:keepLines/>
              <w:jc w:val="center"/>
              <w:rPr>
                <w:sz w:val="20"/>
                <w:lang w:val="en-US"/>
              </w:rPr>
            </w:pPr>
            <w:r w:rsidRPr="00A80E29">
              <w:rPr>
                <w:sz w:val="20"/>
                <w:lang w:val="en-US"/>
              </w:rPr>
              <w:t>Phased array</w:t>
            </w:r>
          </w:p>
        </w:tc>
        <w:tc>
          <w:tcPr>
            <w:tcW w:w="551" w:type="pct"/>
          </w:tcPr>
          <w:p w14:paraId="1ADB7697" w14:textId="77777777" w:rsidR="00BD5912" w:rsidRPr="00A80E29" w:rsidRDefault="00BD5912" w:rsidP="003B22AF">
            <w:pPr>
              <w:pStyle w:val="Tabletext"/>
              <w:keepNext/>
              <w:keepLines/>
              <w:jc w:val="center"/>
              <w:rPr>
                <w:sz w:val="20"/>
                <w:lang w:val="en-US"/>
              </w:rPr>
            </w:pPr>
            <w:r w:rsidRPr="00A80E29">
              <w:rPr>
                <w:sz w:val="20"/>
                <w:lang w:val="en-US"/>
              </w:rPr>
              <w:t>Phased array</w:t>
            </w:r>
          </w:p>
        </w:tc>
        <w:tc>
          <w:tcPr>
            <w:tcW w:w="624" w:type="pct"/>
          </w:tcPr>
          <w:p w14:paraId="70614CB4" w14:textId="77777777" w:rsidR="00BD5912" w:rsidRPr="00A80E29" w:rsidRDefault="00BD5912" w:rsidP="003B22AF">
            <w:pPr>
              <w:pStyle w:val="Tabletext"/>
              <w:keepNext/>
              <w:keepLines/>
              <w:jc w:val="center"/>
              <w:rPr>
                <w:sz w:val="20"/>
                <w:lang w:val="en-US"/>
              </w:rPr>
            </w:pPr>
            <w:r w:rsidRPr="00A80E29">
              <w:rPr>
                <w:sz w:val="20"/>
                <w:lang w:val="en-US"/>
              </w:rPr>
              <w:t>Phased array</w:t>
            </w:r>
          </w:p>
        </w:tc>
        <w:tc>
          <w:tcPr>
            <w:tcW w:w="692" w:type="pct"/>
          </w:tcPr>
          <w:p w14:paraId="5FC88B07" w14:textId="77777777" w:rsidR="00BD5912" w:rsidRPr="00A80E29" w:rsidRDefault="00BD5912" w:rsidP="003B22AF">
            <w:pPr>
              <w:pStyle w:val="Tabletext"/>
              <w:keepNext/>
              <w:keepLines/>
              <w:jc w:val="center"/>
              <w:rPr>
                <w:sz w:val="20"/>
                <w:lang w:val="en-US"/>
              </w:rPr>
            </w:pPr>
            <w:r w:rsidRPr="00A80E29">
              <w:rPr>
                <w:sz w:val="20"/>
                <w:lang w:val="en-US"/>
              </w:rPr>
              <w:t>Phased array</w:t>
            </w:r>
          </w:p>
        </w:tc>
        <w:tc>
          <w:tcPr>
            <w:tcW w:w="479" w:type="pct"/>
          </w:tcPr>
          <w:p w14:paraId="2B8A6C47" w14:textId="77777777" w:rsidR="00BD5912" w:rsidRPr="00A80E29" w:rsidRDefault="00BD5912" w:rsidP="003B22AF">
            <w:pPr>
              <w:pStyle w:val="Tabletext"/>
              <w:keepNext/>
              <w:keepLines/>
              <w:jc w:val="center"/>
              <w:rPr>
                <w:sz w:val="20"/>
                <w:lang w:val="en-US"/>
              </w:rPr>
            </w:pPr>
            <w:r w:rsidRPr="00A80E29">
              <w:rPr>
                <w:sz w:val="20"/>
                <w:lang w:val="en-US"/>
              </w:rPr>
              <w:t>Phased array</w:t>
            </w:r>
          </w:p>
        </w:tc>
      </w:tr>
      <w:tr w:rsidR="00BD5912" w:rsidRPr="00A80E29" w14:paraId="38568F85" w14:textId="77777777" w:rsidTr="003B22AF">
        <w:trPr>
          <w:cantSplit/>
          <w:trHeight w:val="503"/>
        </w:trPr>
        <w:tc>
          <w:tcPr>
            <w:tcW w:w="757" w:type="pct"/>
          </w:tcPr>
          <w:p w14:paraId="61C38EC2" w14:textId="77777777" w:rsidR="00BD5912" w:rsidRPr="00A80E29" w:rsidRDefault="00BD5912" w:rsidP="003B22AF">
            <w:pPr>
              <w:pStyle w:val="Tabletext"/>
              <w:keepNext/>
              <w:keepLines/>
              <w:spacing w:before="20" w:after="20"/>
              <w:rPr>
                <w:sz w:val="20"/>
                <w:lang w:val="en-US"/>
              </w:rPr>
            </w:pPr>
            <w:r w:rsidRPr="00A80E29">
              <w:rPr>
                <w:sz w:val="20"/>
                <w:lang w:val="en-US"/>
              </w:rPr>
              <w:t>Typical antenna size</w:t>
            </w:r>
          </w:p>
        </w:tc>
        <w:tc>
          <w:tcPr>
            <w:tcW w:w="681" w:type="pct"/>
          </w:tcPr>
          <w:p w14:paraId="2648993F" w14:textId="77777777" w:rsidR="00BD5912" w:rsidRPr="00A80E29" w:rsidRDefault="00BD5912" w:rsidP="003B22AF">
            <w:pPr>
              <w:pStyle w:val="Tabletext"/>
              <w:keepNext/>
              <w:keepLines/>
              <w:jc w:val="center"/>
              <w:rPr>
                <w:sz w:val="20"/>
                <w:lang w:val="en-US"/>
              </w:rPr>
            </w:pPr>
            <w:r w:rsidRPr="00A80E29">
              <w:rPr>
                <w:sz w:val="20"/>
                <w:lang w:val="en-US"/>
              </w:rPr>
              <w:t>5 cm diameter</w:t>
            </w:r>
          </w:p>
        </w:tc>
        <w:tc>
          <w:tcPr>
            <w:tcW w:w="648" w:type="pct"/>
          </w:tcPr>
          <w:p w14:paraId="4A2BC786" w14:textId="77777777" w:rsidR="00BD5912" w:rsidRPr="00A80E29" w:rsidRDefault="00BD5912" w:rsidP="003B22AF">
            <w:pPr>
              <w:pStyle w:val="Tabletext"/>
              <w:keepNext/>
              <w:keepLines/>
              <w:spacing w:before="20" w:after="20"/>
              <w:jc w:val="center"/>
              <w:rPr>
                <w:sz w:val="20"/>
              </w:rPr>
            </w:pPr>
            <w:r w:rsidRPr="00A80E29">
              <w:rPr>
                <w:sz w:val="20"/>
                <w:lang w:val="en-US"/>
              </w:rPr>
              <w:t>50 cm diameter</w:t>
            </w:r>
          </w:p>
        </w:tc>
        <w:tc>
          <w:tcPr>
            <w:tcW w:w="569" w:type="pct"/>
          </w:tcPr>
          <w:p w14:paraId="0C923E05" w14:textId="77777777" w:rsidR="00BD5912" w:rsidRPr="00A80E29" w:rsidRDefault="00BD5912" w:rsidP="003B22AF">
            <w:pPr>
              <w:pStyle w:val="Tabletext"/>
              <w:keepNext/>
              <w:keepLines/>
              <w:spacing w:before="20" w:after="20"/>
              <w:jc w:val="center"/>
              <w:rPr>
                <w:sz w:val="20"/>
                <w:lang w:val="en-US"/>
              </w:rPr>
            </w:pPr>
            <w:r w:rsidRPr="00A80E29">
              <w:rPr>
                <w:sz w:val="20"/>
                <w:lang w:val="en-US"/>
              </w:rPr>
              <w:t>30 cm diameter</w:t>
            </w:r>
          </w:p>
        </w:tc>
        <w:tc>
          <w:tcPr>
            <w:tcW w:w="551" w:type="pct"/>
          </w:tcPr>
          <w:p w14:paraId="6161ED3A" w14:textId="77777777" w:rsidR="00BD5912" w:rsidRPr="00A80E29" w:rsidRDefault="00BD5912" w:rsidP="003B22AF">
            <w:pPr>
              <w:pStyle w:val="Tabletext"/>
              <w:keepNext/>
              <w:keepLines/>
              <w:spacing w:before="20" w:after="20"/>
              <w:jc w:val="center"/>
              <w:rPr>
                <w:sz w:val="20"/>
                <w:lang w:val="en-US"/>
              </w:rPr>
            </w:pPr>
            <w:r w:rsidRPr="00A80E29">
              <w:rPr>
                <w:sz w:val="20"/>
                <w:lang w:val="en-US"/>
              </w:rPr>
              <w:t>50 cm diameter</w:t>
            </w:r>
          </w:p>
        </w:tc>
        <w:tc>
          <w:tcPr>
            <w:tcW w:w="624" w:type="pct"/>
          </w:tcPr>
          <w:p w14:paraId="04D6B8BE" w14:textId="77777777" w:rsidR="00BD5912" w:rsidRPr="00A80E29" w:rsidRDefault="00BD5912" w:rsidP="003B22AF">
            <w:pPr>
              <w:pStyle w:val="Tabletext"/>
              <w:keepNext/>
              <w:keepLines/>
              <w:spacing w:before="20" w:after="20"/>
              <w:jc w:val="center"/>
              <w:rPr>
                <w:sz w:val="20"/>
                <w:lang w:val="en-US"/>
              </w:rPr>
            </w:pPr>
            <w:r w:rsidRPr="00A80E29">
              <w:rPr>
                <w:sz w:val="20"/>
                <w:lang w:val="en-US"/>
              </w:rPr>
              <w:t>30 cm diameter</w:t>
            </w:r>
          </w:p>
        </w:tc>
        <w:tc>
          <w:tcPr>
            <w:tcW w:w="692" w:type="pct"/>
          </w:tcPr>
          <w:p w14:paraId="3C7A0F5D" w14:textId="306EDF27" w:rsidR="00BD5912" w:rsidRPr="00A80E29" w:rsidRDefault="00BD5912" w:rsidP="003B22AF">
            <w:pPr>
              <w:pStyle w:val="Tabletext"/>
              <w:keepNext/>
              <w:keepLines/>
              <w:spacing w:before="20" w:after="20"/>
              <w:jc w:val="center"/>
              <w:rPr>
                <w:sz w:val="20"/>
                <w:lang w:val="en-US"/>
              </w:rPr>
            </w:pPr>
            <w:r w:rsidRPr="00A80E29">
              <w:rPr>
                <w:sz w:val="20"/>
                <w:lang w:val="en-US"/>
              </w:rPr>
              <w:t>2 panels 60 </w:t>
            </w:r>
            <w:r w:rsidR="009D7E80">
              <w:rPr>
                <w:sz w:val="20"/>
              </w:rPr>
              <w:t>x</w:t>
            </w:r>
            <w:r w:rsidRPr="00A80E29">
              <w:rPr>
                <w:sz w:val="20"/>
                <w:lang w:val="en-US"/>
              </w:rPr>
              <w:t> 60 cm</w:t>
            </w:r>
          </w:p>
        </w:tc>
        <w:tc>
          <w:tcPr>
            <w:tcW w:w="479" w:type="pct"/>
          </w:tcPr>
          <w:p w14:paraId="31AC416C" w14:textId="40538D1D" w:rsidR="00BD5912" w:rsidRPr="00A80E29" w:rsidRDefault="00BD5912" w:rsidP="003B22AF">
            <w:pPr>
              <w:pStyle w:val="Tabletext"/>
              <w:keepNext/>
              <w:keepLines/>
              <w:spacing w:before="20" w:after="20"/>
              <w:jc w:val="center"/>
              <w:rPr>
                <w:sz w:val="20"/>
                <w:lang w:val="en-US"/>
              </w:rPr>
            </w:pPr>
            <w:r w:rsidRPr="00A80E29">
              <w:rPr>
                <w:sz w:val="20"/>
                <w:lang w:val="en-US"/>
              </w:rPr>
              <w:t>20 </w:t>
            </w:r>
            <w:r w:rsidR="00C60E8C">
              <w:rPr>
                <w:sz w:val="20"/>
              </w:rPr>
              <w:t>x</w:t>
            </w:r>
            <w:r w:rsidRPr="00A80E29">
              <w:rPr>
                <w:sz w:val="20"/>
                <w:lang w:val="en-US"/>
              </w:rPr>
              <w:t> 15 cm</w:t>
            </w:r>
          </w:p>
        </w:tc>
      </w:tr>
      <w:tr w:rsidR="00BD5912" w:rsidRPr="00A80E29" w14:paraId="65AA48DA" w14:textId="77777777" w:rsidTr="003B22AF">
        <w:trPr>
          <w:cantSplit/>
          <w:trHeight w:val="895"/>
        </w:trPr>
        <w:tc>
          <w:tcPr>
            <w:tcW w:w="757" w:type="pct"/>
          </w:tcPr>
          <w:p w14:paraId="6BCCBF80" w14:textId="77777777" w:rsidR="00BD5912" w:rsidRPr="00A80E29" w:rsidRDefault="00BD5912" w:rsidP="003B22AF">
            <w:pPr>
              <w:pStyle w:val="Tabletext"/>
              <w:keepNext/>
              <w:keepLines/>
              <w:spacing w:before="20" w:after="20"/>
              <w:rPr>
                <w:sz w:val="20"/>
                <w:lang w:val="en-US"/>
              </w:rPr>
            </w:pPr>
            <w:r w:rsidRPr="00A80E29">
              <w:rPr>
                <w:sz w:val="20"/>
                <w:lang w:val="en-US"/>
              </w:rPr>
              <w:t>Mobile earth station figure of merit (</w:t>
            </w:r>
            <w:r w:rsidRPr="00A80E29">
              <w:rPr>
                <w:i/>
                <w:iCs/>
                <w:sz w:val="20"/>
                <w:lang w:val="en-US"/>
              </w:rPr>
              <w:t>G</w:t>
            </w:r>
            <w:r w:rsidRPr="00A80E29">
              <w:rPr>
                <w:sz w:val="20"/>
                <w:lang w:val="en-US"/>
              </w:rPr>
              <w:t>/</w:t>
            </w:r>
            <w:r w:rsidRPr="00A80E29">
              <w:rPr>
                <w:i/>
                <w:iCs/>
                <w:sz w:val="20"/>
                <w:lang w:val="en-US"/>
              </w:rPr>
              <w:t>T</w:t>
            </w:r>
            <w:r w:rsidRPr="00A80E29">
              <w:rPr>
                <w:sz w:val="20"/>
                <w:lang w:val="en-US"/>
              </w:rPr>
              <w:t>) (dB(K</w:t>
            </w:r>
            <w:r w:rsidRPr="00A80E29">
              <w:rPr>
                <w:sz w:val="20"/>
                <w:vertAlign w:val="superscript"/>
                <w:lang w:val="en-US"/>
              </w:rPr>
              <w:t>–1</w:t>
            </w:r>
            <w:r w:rsidRPr="00A80E29">
              <w:rPr>
                <w:sz w:val="20"/>
                <w:lang w:val="en-US"/>
              </w:rPr>
              <w:t>))</w:t>
            </w:r>
          </w:p>
        </w:tc>
        <w:tc>
          <w:tcPr>
            <w:tcW w:w="681" w:type="pct"/>
          </w:tcPr>
          <w:p w14:paraId="28DB77B4" w14:textId="77777777" w:rsidR="00BD5912" w:rsidRPr="00A80E29" w:rsidRDefault="00BD5912" w:rsidP="003B22AF">
            <w:pPr>
              <w:pStyle w:val="Tabletext"/>
              <w:keepNext/>
              <w:keepLines/>
              <w:spacing w:before="20" w:after="20"/>
              <w:jc w:val="center"/>
              <w:rPr>
                <w:sz w:val="20"/>
              </w:rPr>
            </w:pPr>
            <w:r w:rsidRPr="00A80E29">
              <w:rPr>
                <w:sz w:val="20"/>
              </w:rPr>
              <w:t>−23</w:t>
            </w:r>
          </w:p>
        </w:tc>
        <w:tc>
          <w:tcPr>
            <w:tcW w:w="648" w:type="pct"/>
          </w:tcPr>
          <w:p w14:paraId="068C04F1" w14:textId="77777777" w:rsidR="00BD5912" w:rsidRPr="00A80E29" w:rsidRDefault="00BD5912" w:rsidP="003B22AF">
            <w:pPr>
              <w:pStyle w:val="Tabletext"/>
              <w:keepNext/>
              <w:keepLines/>
              <w:spacing w:before="20" w:after="20"/>
              <w:jc w:val="center"/>
              <w:rPr>
                <w:sz w:val="20"/>
              </w:rPr>
            </w:pPr>
            <w:r w:rsidRPr="00A80E29">
              <w:rPr>
                <w:sz w:val="20"/>
              </w:rPr>
              <w:t>−10</w:t>
            </w:r>
          </w:p>
        </w:tc>
        <w:tc>
          <w:tcPr>
            <w:tcW w:w="569" w:type="pct"/>
          </w:tcPr>
          <w:p w14:paraId="44A64F24" w14:textId="77777777" w:rsidR="00BD5912" w:rsidRPr="00A80E29" w:rsidRDefault="00BD5912" w:rsidP="003B22AF">
            <w:pPr>
              <w:pStyle w:val="Tabletext"/>
              <w:keepNext/>
              <w:keepLines/>
              <w:spacing w:before="20" w:after="20"/>
              <w:jc w:val="center"/>
              <w:rPr>
                <w:sz w:val="20"/>
              </w:rPr>
            </w:pPr>
            <w:r w:rsidRPr="00A80E29">
              <w:rPr>
                <w:sz w:val="20"/>
              </w:rPr>
              <w:t>−15.5</w:t>
            </w:r>
          </w:p>
        </w:tc>
        <w:tc>
          <w:tcPr>
            <w:tcW w:w="551" w:type="pct"/>
          </w:tcPr>
          <w:p w14:paraId="3B36FDC2" w14:textId="77777777" w:rsidR="00BD5912" w:rsidRPr="00A80E29" w:rsidRDefault="00BD5912" w:rsidP="003B22AF">
            <w:pPr>
              <w:pStyle w:val="Tabletext"/>
              <w:keepNext/>
              <w:keepLines/>
              <w:spacing w:before="20" w:after="20"/>
              <w:jc w:val="center"/>
              <w:rPr>
                <w:sz w:val="20"/>
              </w:rPr>
            </w:pPr>
            <w:r w:rsidRPr="00A80E29">
              <w:rPr>
                <w:sz w:val="20"/>
              </w:rPr>
              <w:t>−7.5</w:t>
            </w:r>
          </w:p>
        </w:tc>
        <w:tc>
          <w:tcPr>
            <w:tcW w:w="624" w:type="pct"/>
          </w:tcPr>
          <w:p w14:paraId="47B1C19C" w14:textId="77777777" w:rsidR="00BD5912" w:rsidRPr="00A80E29" w:rsidRDefault="00BD5912" w:rsidP="003B22AF">
            <w:pPr>
              <w:pStyle w:val="Tabletext"/>
              <w:keepNext/>
              <w:keepLines/>
              <w:spacing w:before="20" w:after="20"/>
              <w:jc w:val="center"/>
              <w:rPr>
                <w:sz w:val="20"/>
              </w:rPr>
            </w:pPr>
            <w:r w:rsidRPr="00A80E29">
              <w:rPr>
                <w:sz w:val="20"/>
              </w:rPr>
              <w:t>−15.5</w:t>
            </w:r>
          </w:p>
        </w:tc>
        <w:tc>
          <w:tcPr>
            <w:tcW w:w="692" w:type="pct"/>
          </w:tcPr>
          <w:p w14:paraId="095D581D" w14:textId="77777777" w:rsidR="00BD5912" w:rsidRPr="00A80E29" w:rsidRDefault="00BD5912" w:rsidP="003B22AF">
            <w:pPr>
              <w:pStyle w:val="Tabletext"/>
              <w:keepNext/>
              <w:keepLines/>
              <w:spacing w:before="20" w:after="20"/>
              <w:jc w:val="center"/>
              <w:rPr>
                <w:sz w:val="20"/>
              </w:rPr>
            </w:pPr>
            <w:r w:rsidRPr="00A80E29">
              <w:rPr>
                <w:sz w:val="20"/>
              </w:rPr>
              <w:t>−13</w:t>
            </w:r>
          </w:p>
        </w:tc>
        <w:tc>
          <w:tcPr>
            <w:tcW w:w="479" w:type="pct"/>
          </w:tcPr>
          <w:p w14:paraId="5D0A0D3A" w14:textId="77777777" w:rsidR="00BD5912" w:rsidRPr="00A80E29" w:rsidRDefault="00BD5912" w:rsidP="003B22AF">
            <w:pPr>
              <w:pStyle w:val="Tabletext"/>
              <w:keepNext/>
              <w:keepLines/>
              <w:spacing w:before="20" w:after="20"/>
              <w:jc w:val="center"/>
              <w:rPr>
                <w:sz w:val="20"/>
              </w:rPr>
            </w:pPr>
            <w:r w:rsidRPr="00A80E29">
              <w:rPr>
                <w:sz w:val="20"/>
              </w:rPr>
              <w:t>−20</w:t>
            </w:r>
          </w:p>
        </w:tc>
      </w:tr>
      <w:tr w:rsidR="00BD5912" w:rsidRPr="00A80E29" w14:paraId="589D0F40" w14:textId="77777777" w:rsidTr="003B22AF">
        <w:trPr>
          <w:cantSplit/>
          <w:trHeight w:val="895"/>
        </w:trPr>
        <w:tc>
          <w:tcPr>
            <w:tcW w:w="757" w:type="pct"/>
          </w:tcPr>
          <w:p w14:paraId="50B9CAC8" w14:textId="77777777" w:rsidR="00BD5912" w:rsidRPr="00A80E29" w:rsidRDefault="00BD5912" w:rsidP="003B22AF">
            <w:pPr>
              <w:pStyle w:val="Tabletext"/>
              <w:keepNext/>
              <w:keepLines/>
              <w:spacing w:before="20" w:after="20"/>
              <w:rPr>
                <w:sz w:val="20"/>
                <w:lang w:val="en-US"/>
              </w:rPr>
            </w:pPr>
            <w:r w:rsidRPr="00A80E29">
              <w:rPr>
                <w:sz w:val="20"/>
                <w:lang w:val="en-US"/>
              </w:rPr>
              <w:t xml:space="preserve">Mobile earth station </w:t>
            </w:r>
            <w:proofErr w:type="spellStart"/>
            <w:r w:rsidRPr="00A80E29">
              <w:rPr>
                <w:sz w:val="20"/>
                <w:lang w:val="en-US"/>
              </w:rPr>
              <w:t>e.i.r.p</w:t>
            </w:r>
            <w:proofErr w:type="spellEnd"/>
            <w:r w:rsidRPr="00A80E29">
              <w:rPr>
                <w:sz w:val="20"/>
                <w:lang w:val="en-US"/>
              </w:rPr>
              <w:t>./channel (</w:t>
            </w:r>
            <w:proofErr w:type="spellStart"/>
            <w:r w:rsidRPr="00A80E29">
              <w:rPr>
                <w:sz w:val="20"/>
                <w:lang w:val="en-US"/>
              </w:rPr>
              <w:t>dBW</w:t>
            </w:r>
            <w:proofErr w:type="spellEnd"/>
            <w:r w:rsidRPr="00A80E29">
              <w:rPr>
                <w:sz w:val="20"/>
                <w:lang w:val="en-US"/>
              </w:rPr>
              <w:t>)</w:t>
            </w:r>
          </w:p>
        </w:tc>
        <w:tc>
          <w:tcPr>
            <w:tcW w:w="681" w:type="pct"/>
          </w:tcPr>
          <w:p w14:paraId="02A5309A" w14:textId="77777777" w:rsidR="00BD5912" w:rsidRPr="00A80E29" w:rsidRDefault="00BD5912" w:rsidP="003B22AF">
            <w:pPr>
              <w:pStyle w:val="Tabletext"/>
              <w:keepNext/>
              <w:keepLines/>
              <w:spacing w:before="20" w:after="20"/>
              <w:jc w:val="center"/>
              <w:rPr>
                <w:sz w:val="20"/>
              </w:rPr>
            </w:pPr>
            <w:r w:rsidRPr="00A80E29">
              <w:rPr>
                <w:sz w:val="20"/>
              </w:rPr>
              <w:t>11</w:t>
            </w:r>
          </w:p>
        </w:tc>
        <w:tc>
          <w:tcPr>
            <w:tcW w:w="648" w:type="pct"/>
          </w:tcPr>
          <w:p w14:paraId="16464489" w14:textId="77777777" w:rsidR="00BD5912" w:rsidRPr="00A80E29" w:rsidRDefault="00BD5912" w:rsidP="003B22AF">
            <w:pPr>
              <w:pStyle w:val="Tabletext"/>
              <w:keepNext/>
              <w:keepLines/>
              <w:spacing w:before="20" w:after="20"/>
              <w:jc w:val="center"/>
              <w:rPr>
                <w:sz w:val="20"/>
              </w:rPr>
            </w:pPr>
            <w:r w:rsidRPr="00A80E29">
              <w:rPr>
                <w:sz w:val="20"/>
              </w:rPr>
              <w:t>18</w:t>
            </w:r>
          </w:p>
        </w:tc>
        <w:tc>
          <w:tcPr>
            <w:tcW w:w="569" w:type="pct"/>
          </w:tcPr>
          <w:p w14:paraId="20C00547" w14:textId="77777777" w:rsidR="00BD5912" w:rsidRPr="00A80E29" w:rsidRDefault="00BD5912" w:rsidP="003B22AF">
            <w:pPr>
              <w:pStyle w:val="Tabletext"/>
              <w:keepNext/>
              <w:keepLines/>
              <w:spacing w:before="20" w:after="20"/>
              <w:jc w:val="center"/>
              <w:rPr>
                <w:sz w:val="20"/>
              </w:rPr>
            </w:pPr>
            <w:r w:rsidRPr="00A80E29">
              <w:rPr>
                <w:sz w:val="20"/>
              </w:rPr>
              <w:t>15.1</w:t>
            </w:r>
          </w:p>
        </w:tc>
        <w:tc>
          <w:tcPr>
            <w:tcW w:w="551" w:type="pct"/>
          </w:tcPr>
          <w:p w14:paraId="0197468B" w14:textId="77777777" w:rsidR="00BD5912" w:rsidRPr="00A80E29" w:rsidRDefault="00BD5912" w:rsidP="003B22AF">
            <w:pPr>
              <w:pStyle w:val="Tabletext"/>
              <w:keepNext/>
              <w:keepLines/>
              <w:spacing w:before="20" w:after="20"/>
              <w:jc w:val="center"/>
              <w:rPr>
                <w:sz w:val="20"/>
              </w:rPr>
            </w:pPr>
            <w:r w:rsidRPr="00A80E29">
              <w:rPr>
                <w:sz w:val="20"/>
              </w:rPr>
              <w:t>22</w:t>
            </w:r>
          </w:p>
        </w:tc>
        <w:tc>
          <w:tcPr>
            <w:tcW w:w="624" w:type="pct"/>
          </w:tcPr>
          <w:p w14:paraId="2379FC7E" w14:textId="77777777" w:rsidR="00BD5912" w:rsidRPr="00A80E29" w:rsidRDefault="00BD5912" w:rsidP="003B22AF">
            <w:pPr>
              <w:pStyle w:val="Tabletext"/>
              <w:keepNext/>
              <w:keepLines/>
              <w:spacing w:before="20" w:after="20"/>
              <w:jc w:val="center"/>
              <w:rPr>
                <w:sz w:val="20"/>
              </w:rPr>
            </w:pPr>
            <w:r w:rsidRPr="00A80E29">
              <w:rPr>
                <w:sz w:val="20"/>
              </w:rPr>
              <w:t>15.1</w:t>
            </w:r>
          </w:p>
        </w:tc>
        <w:tc>
          <w:tcPr>
            <w:tcW w:w="692" w:type="pct"/>
          </w:tcPr>
          <w:p w14:paraId="19D837E2" w14:textId="77777777" w:rsidR="00BD5912" w:rsidRPr="00A80E29" w:rsidRDefault="00BD5912" w:rsidP="003B22AF">
            <w:pPr>
              <w:pStyle w:val="Tabletext"/>
              <w:keepNext/>
              <w:keepLines/>
              <w:spacing w:before="20" w:after="20"/>
              <w:jc w:val="center"/>
              <w:rPr>
                <w:sz w:val="20"/>
              </w:rPr>
            </w:pPr>
            <w:r w:rsidRPr="00A80E29">
              <w:rPr>
                <w:sz w:val="20"/>
              </w:rPr>
              <w:t>20</w:t>
            </w:r>
          </w:p>
        </w:tc>
        <w:tc>
          <w:tcPr>
            <w:tcW w:w="479" w:type="pct"/>
          </w:tcPr>
          <w:p w14:paraId="16E48A5F" w14:textId="77777777" w:rsidR="00BD5912" w:rsidRPr="00A80E29" w:rsidRDefault="00BD5912" w:rsidP="003B22AF">
            <w:pPr>
              <w:pStyle w:val="Tabletext"/>
              <w:keepNext/>
              <w:keepLines/>
              <w:spacing w:before="20" w:after="20"/>
              <w:jc w:val="center"/>
              <w:rPr>
                <w:sz w:val="20"/>
              </w:rPr>
            </w:pPr>
            <w:r w:rsidRPr="00A80E29">
              <w:rPr>
                <w:sz w:val="20"/>
              </w:rPr>
              <w:t>15.1</w:t>
            </w:r>
          </w:p>
        </w:tc>
      </w:tr>
      <w:tr w:rsidR="00BD5912" w:rsidRPr="00A80E29" w14:paraId="7EA11DAD" w14:textId="77777777" w:rsidTr="003B22AF">
        <w:trPr>
          <w:cantSplit/>
          <w:trHeight w:val="251"/>
        </w:trPr>
        <w:tc>
          <w:tcPr>
            <w:tcW w:w="757" w:type="pct"/>
          </w:tcPr>
          <w:p w14:paraId="1C5EFD4E" w14:textId="77777777" w:rsidR="00BD5912" w:rsidRPr="00A80E29" w:rsidRDefault="00BD5912" w:rsidP="003B22AF">
            <w:pPr>
              <w:pStyle w:val="Tabletext"/>
              <w:keepNext/>
              <w:keepLines/>
              <w:spacing w:before="20" w:after="20"/>
              <w:rPr>
                <w:sz w:val="20"/>
                <w:lang w:val="en-US"/>
              </w:rPr>
            </w:pPr>
            <w:r w:rsidRPr="00A80E29">
              <w:rPr>
                <w:sz w:val="20"/>
                <w:lang w:val="en-US"/>
              </w:rPr>
              <w:t>User data rate</w:t>
            </w:r>
          </w:p>
        </w:tc>
        <w:tc>
          <w:tcPr>
            <w:tcW w:w="681" w:type="pct"/>
          </w:tcPr>
          <w:p w14:paraId="03285C7A" w14:textId="77777777" w:rsidR="00BD5912" w:rsidRPr="00A80E29" w:rsidRDefault="00BD5912" w:rsidP="003B22AF">
            <w:pPr>
              <w:pStyle w:val="Tabletext"/>
              <w:keepNext/>
              <w:keepLines/>
              <w:spacing w:before="20" w:after="20"/>
              <w:jc w:val="center"/>
              <w:rPr>
                <w:sz w:val="20"/>
                <w:lang w:val="en-US"/>
              </w:rPr>
            </w:pPr>
            <w:r w:rsidRPr="00A80E29">
              <w:rPr>
                <w:sz w:val="20"/>
                <w:lang w:val="en-US"/>
              </w:rPr>
              <w:t>600 bit/s</w:t>
            </w:r>
          </w:p>
        </w:tc>
        <w:tc>
          <w:tcPr>
            <w:tcW w:w="648" w:type="pct"/>
          </w:tcPr>
          <w:p w14:paraId="3E705E35" w14:textId="77777777" w:rsidR="00BD5912" w:rsidRPr="00A80E29" w:rsidRDefault="00BD5912" w:rsidP="003B22AF">
            <w:pPr>
              <w:pStyle w:val="Tabletext"/>
              <w:keepNext/>
              <w:keepLines/>
              <w:spacing w:before="20" w:after="20"/>
              <w:jc w:val="center"/>
              <w:rPr>
                <w:sz w:val="20"/>
                <w:lang w:val="en-US"/>
              </w:rPr>
            </w:pPr>
            <w:r w:rsidRPr="00A80E29">
              <w:rPr>
                <w:sz w:val="20"/>
                <w:lang w:val="en-US"/>
              </w:rPr>
              <w:t>500  kbit/s</w:t>
            </w:r>
          </w:p>
        </w:tc>
        <w:tc>
          <w:tcPr>
            <w:tcW w:w="569" w:type="pct"/>
          </w:tcPr>
          <w:p w14:paraId="77DADF56" w14:textId="77777777" w:rsidR="00BD5912" w:rsidRPr="00A80E29" w:rsidRDefault="00BD5912" w:rsidP="003B22AF">
            <w:pPr>
              <w:pStyle w:val="Tabletext"/>
              <w:keepNext/>
              <w:keepLines/>
              <w:spacing w:before="20" w:after="20"/>
              <w:jc w:val="center"/>
              <w:rPr>
                <w:sz w:val="20"/>
                <w:lang w:val="en-US"/>
              </w:rPr>
            </w:pPr>
            <w:r w:rsidRPr="00A80E29">
              <w:rPr>
                <w:sz w:val="20"/>
                <w:lang w:val="en-US"/>
              </w:rPr>
              <w:t>250 kbit/s</w:t>
            </w:r>
          </w:p>
        </w:tc>
        <w:tc>
          <w:tcPr>
            <w:tcW w:w="551" w:type="pct"/>
          </w:tcPr>
          <w:p w14:paraId="22B6CD0C" w14:textId="77777777" w:rsidR="00BD5912" w:rsidRPr="00A80E29" w:rsidRDefault="00BD5912" w:rsidP="003B22AF">
            <w:pPr>
              <w:pStyle w:val="Tabletext"/>
              <w:keepNext/>
              <w:keepLines/>
              <w:spacing w:before="20" w:after="20"/>
              <w:jc w:val="center"/>
              <w:rPr>
                <w:sz w:val="20"/>
                <w:lang w:val="en-US"/>
              </w:rPr>
            </w:pPr>
            <w:r w:rsidRPr="00A80E29">
              <w:rPr>
                <w:sz w:val="20"/>
              </w:rPr>
              <w:t>500 kbit/s</w:t>
            </w:r>
          </w:p>
        </w:tc>
        <w:tc>
          <w:tcPr>
            <w:tcW w:w="624" w:type="pct"/>
          </w:tcPr>
          <w:p w14:paraId="59E500ED" w14:textId="77777777" w:rsidR="00BD5912" w:rsidRPr="00A80E29" w:rsidRDefault="00BD5912" w:rsidP="003B22AF">
            <w:pPr>
              <w:pStyle w:val="Tabletext"/>
              <w:keepNext/>
              <w:keepLines/>
              <w:spacing w:before="20" w:after="20"/>
              <w:jc w:val="center"/>
              <w:rPr>
                <w:sz w:val="20"/>
                <w:lang w:val="en-US"/>
              </w:rPr>
            </w:pPr>
            <w:r w:rsidRPr="00A80E29">
              <w:rPr>
                <w:sz w:val="20"/>
              </w:rPr>
              <w:t>250 kbit/s</w:t>
            </w:r>
          </w:p>
        </w:tc>
        <w:tc>
          <w:tcPr>
            <w:tcW w:w="692" w:type="pct"/>
          </w:tcPr>
          <w:p w14:paraId="41616D72" w14:textId="77777777" w:rsidR="00BD5912" w:rsidRPr="00A80E29" w:rsidRDefault="00BD5912" w:rsidP="003B22AF">
            <w:pPr>
              <w:pStyle w:val="Tabletext"/>
              <w:keepNext/>
              <w:keepLines/>
              <w:spacing w:before="20" w:after="20"/>
              <w:jc w:val="center"/>
              <w:rPr>
                <w:sz w:val="20"/>
                <w:lang w:val="en-US"/>
              </w:rPr>
            </w:pPr>
            <w:r w:rsidRPr="00A80E29">
              <w:rPr>
                <w:sz w:val="20"/>
                <w:lang w:val="en-US"/>
              </w:rPr>
              <w:t>500 kbit/s</w:t>
            </w:r>
          </w:p>
        </w:tc>
        <w:tc>
          <w:tcPr>
            <w:tcW w:w="479" w:type="pct"/>
          </w:tcPr>
          <w:p w14:paraId="51B09717" w14:textId="77777777" w:rsidR="00BD5912" w:rsidRPr="00A80E29" w:rsidRDefault="00BD5912" w:rsidP="003B22AF">
            <w:pPr>
              <w:pStyle w:val="Tabletext"/>
              <w:keepNext/>
              <w:keepLines/>
              <w:spacing w:before="20" w:after="20"/>
              <w:jc w:val="center"/>
              <w:rPr>
                <w:sz w:val="20"/>
                <w:lang w:val="en-US"/>
              </w:rPr>
            </w:pPr>
            <w:r w:rsidRPr="00A80E29">
              <w:rPr>
                <w:sz w:val="20"/>
                <w:lang w:val="en-US"/>
              </w:rPr>
              <w:t>250 kbit/s</w:t>
            </w:r>
          </w:p>
        </w:tc>
      </w:tr>
      <w:tr w:rsidR="00BD5912" w:rsidRPr="00A80E29" w14:paraId="69BF64A2" w14:textId="77777777" w:rsidTr="003B22AF">
        <w:trPr>
          <w:cantSplit/>
          <w:trHeight w:val="289"/>
        </w:trPr>
        <w:tc>
          <w:tcPr>
            <w:tcW w:w="757" w:type="pct"/>
          </w:tcPr>
          <w:p w14:paraId="05FC6B44" w14:textId="77777777" w:rsidR="00BD5912" w:rsidRPr="00A80E29" w:rsidRDefault="00BD5912" w:rsidP="003B22AF">
            <w:pPr>
              <w:pStyle w:val="Tabletext"/>
              <w:keepNext/>
              <w:keepLines/>
              <w:rPr>
                <w:sz w:val="20"/>
                <w:lang w:val="en-US"/>
              </w:rPr>
            </w:pPr>
            <w:r w:rsidRPr="00A80E29">
              <w:rPr>
                <w:sz w:val="20"/>
                <w:lang w:val="en-US"/>
              </w:rPr>
              <w:t>Modulation</w:t>
            </w:r>
          </w:p>
        </w:tc>
        <w:tc>
          <w:tcPr>
            <w:tcW w:w="681" w:type="pct"/>
          </w:tcPr>
          <w:p w14:paraId="3FABB518" w14:textId="77777777" w:rsidR="00BD5912" w:rsidRPr="00A80E29" w:rsidRDefault="00BD5912" w:rsidP="003B22AF">
            <w:pPr>
              <w:pStyle w:val="Tabletext"/>
              <w:keepNext/>
              <w:keepLines/>
              <w:jc w:val="center"/>
              <w:rPr>
                <w:sz w:val="20"/>
                <w:lang w:val="en-US"/>
              </w:rPr>
            </w:pPr>
            <w:r w:rsidRPr="00A80E29">
              <w:rPr>
                <w:sz w:val="20"/>
                <w:lang w:val="en-US"/>
              </w:rPr>
              <w:t>BPSK</w:t>
            </w:r>
          </w:p>
        </w:tc>
        <w:tc>
          <w:tcPr>
            <w:tcW w:w="648" w:type="pct"/>
          </w:tcPr>
          <w:p w14:paraId="394F25B2" w14:textId="77777777" w:rsidR="00BD5912" w:rsidRPr="00A80E29" w:rsidRDefault="00BD5912" w:rsidP="003B22AF">
            <w:pPr>
              <w:pStyle w:val="Tabletext"/>
              <w:keepNext/>
              <w:keepLines/>
              <w:jc w:val="center"/>
              <w:rPr>
                <w:sz w:val="20"/>
                <w:lang w:val="en-US"/>
              </w:rPr>
            </w:pPr>
            <w:r w:rsidRPr="00A80E29">
              <w:rPr>
                <w:sz w:val="20"/>
                <w:lang w:val="en-US"/>
              </w:rPr>
              <w:t>16-QAM</w:t>
            </w:r>
          </w:p>
        </w:tc>
        <w:tc>
          <w:tcPr>
            <w:tcW w:w="569" w:type="pct"/>
          </w:tcPr>
          <w:p w14:paraId="2C65FE8C" w14:textId="77777777" w:rsidR="00BD5912" w:rsidRPr="00A80E29" w:rsidRDefault="00BD5912" w:rsidP="003B22AF">
            <w:pPr>
              <w:pStyle w:val="Tabletext"/>
              <w:keepNext/>
              <w:keepLines/>
              <w:jc w:val="center"/>
              <w:rPr>
                <w:sz w:val="20"/>
                <w:lang w:val="en-US"/>
              </w:rPr>
            </w:pPr>
            <w:r w:rsidRPr="00A80E29">
              <w:rPr>
                <w:sz w:val="20"/>
                <w:lang w:val="en-US"/>
              </w:rPr>
              <w:t>16-QAM</w:t>
            </w:r>
          </w:p>
        </w:tc>
        <w:tc>
          <w:tcPr>
            <w:tcW w:w="551" w:type="pct"/>
          </w:tcPr>
          <w:p w14:paraId="5FE31560" w14:textId="77777777" w:rsidR="00BD5912" w:rsidRPr="00A80E29" w:rsidRDefault="00BD5912" w:rsidP="003B22AF">
            <w:pPr>
              <w:pStyle w:val="Tabletext"/>
              <w:keepNext/>
              <w:keepLines/>
              <w:jc w:val="center"/>
              <w:rPr>
                <w:sz w:val="20"/>
                <w:lang w:val="en-US"/>
              </w:rPr>
            </w:pPr>
            <w:r w:rsidRPr="00A80E29">
              <w:rPr>
                <w:sz w:val="20"/>
                <w:lang w:val="en-US"/>
              </w:rPr>
              <w:t>16-QAM</w:t>
            </w:r>
          </w:p>
        </w:tc>
        <w:tc>
          <w:tcPr>
            <w:tcW w:w="624" w:type="pct"/>
          </w:tcPr>
          <w:p w14:paraId="25B7FFE2" w14:textId="77777777" w:rsidR="00BD5912" w:rsidRPr="00A80E29" w:rsidRDefault="00BD5912" w:rsidP="003B22AF">
            <w:pPr>
              <w:pStyle w:val="Tabletext"/>
              <w:keepNext/>
              <w:keepLines/>
              <w:jc w:val="center"/>
              <w:rPr>
                <w:sz w:val="20"/>
                <w:lang w:val="en-US"/>
              </w:rPr>
            </w:pPr>
            <w:r w:rsidRPr="00A80E29">
              <w:rPr>
                <w:sz w:val="20"/>
                <w:lang w:val="en-US"/>
              </w:rPr>
              <w:t>16-QAM</w:t>
            </w:r>
          </w:p>
        </w:tc>
        <w:tc>
          <w:tcPr>
            <w:tcW w:w="692" w:type="pct"/>
          </w:tcPr>
          <w:p w14:paraId="1EE04C2F" w14:textId="77777777" w:rsidR="00BD5912" w:rsidRPr="00A80E29" w:rsidRDefault="00BD5912" w:rsidP="003B22AF">
            <w:pPr>
              <w:pStyle w:val="Tabletext"/>
              <w:keepNext/>
              <w:keepLines/>
              <w:jc w:val="center"/>
              <w:rPr>
                <w:sz w:val="20"/>
                <w:lang w:val="en-US"/>
              </w:rPr>
            </w:pPr>
            <w:r w:rsidRPr="00A80E29">
              <w:rPr>
                <w:sz w:val="20"/>
                <w:lang w:val="en-US"/>
              </w:rPr>
              <w:t>16-QAM</w:t>
            </w:r>
          </w:p>
        </w:tc>
        <w:tc>
          <w:tcPr>
            <w:tcW w:w="479" w:type="pct"/>
          </w:tcPr>
          <w:p w14:paraId="1DD75AB4" w14:textId="77777777" w:rsidR="00BD5912" w:rsidRPr="00A80E29" w:rsidRDefault="00BD5912" w:rsidP="003B22AF">
            <w:pPr>
              <w:pStyle w:val="Tabletext"/>
              <w:keepNext/>
              <w:keepLines/>
              <w:jc w:val="center"/>
              <w:rPr>
                <w:sz w:val="20"/>
                <w:lang w:val="en-US"/>
              </w:rPr>
            </w:pPr>
            <w:r w:rsidRPr="00A80E29">
              <w:rPr>
                <w:sz w:val="20"/>
                <w:lang w:val="en-US"/>
              </w:rPr>
              <w:t>16-QAM</w:t>
            </w:r>
          </w:p>
        </w:tc>
      </w:tr>
      <w:tr w:rsidR="00BD5912" w:rsidRPr="00A80E29" w14:paraId="273A9244" w14:textId="77777777" w:rsidTr="003B22AF">
        <w:trPr>
          <w:cantSplit/>
          <w:trHeight w:val="895"/>
        </w:trPr>
        <w:tc>
          <w:tcPr>
            <w:tcW w:w="757" w:type="pct"/>
          </w:tcPr>
          <w:p w14:paraId="6E84925C" w14:textId="77777777" w:rsidR="00BD5912" w:rsidRPr="00A80E29" w:rsidRDefault="00BD5912" w:rsidP="003B22AF">
            <w:pPr>
              <w:pStyle w:val="Tabletext"/>
              <w:keepNext/>
              <w:keepLines/>
              <w:spacing w:before="20" w:after="20"/>
              <w:rPr>
                <w:sz w:val="20"/>
                <w:lang w:val="en-US"/>
              </w:rPr>
            </w:pPr>
            <w:r w:rsidRPr="00A80E29">
              <w:rPr>
                <w:sz w:val="20"/>
                <w:lang w:val="en-GB"/>
              </w:rPr>
              <w:t xml:space="preserve">Typical </w:t>
            </w:r>
            <w:r w:rsidRPr="00A80E29">
              <w:rPr>
                <w:i/>
                <w:iCs/>
                <w:sz w:val="20"/>
                <w:lang w:val="en-GB"/>
              </w:rPr>
              <w:t>C</w:t>
            </w:r>
            <w:r w:rsidRPr="00A80E29">
              <w:rPr>
                <w:sz w:val="20"/>
                <w:lang w:val="en-GB"/>
              </w:rPr>
              <w:t>/</w:t>
            </w:r>
            <w:r w:rsidRPr="00A80E29">
              <w:rPr>
                <w:i/>
                <w:iCs/>
                <w:sz w:val="20"/>
                <w:lang w:val="en-GB"/>
              </w:rPr>
              <w:t>N</w:t>
            </w:r>
            <w:r w:rsidRPr="00A80E29">
              <w:rPr>
                <w:sz w:val="20"/>
                <w:vertAlign w:val="subscript"/>
                <w:lang w:val="en-GB"/>
              </w:rPr>
              <w:t>0</w:t>
            </w:r>
            <w:r w:rsidRPr="00A80E29">
              <w:rPr>
                <w:position w:val="-4"/>
                <w:sz w:val="20"/>
                <w:lang w:val="en-GB"/>
              </w:rPr>
              <w:t xml:space="preserve"> </w:t>
            </w:r>
            <w:r w:rsidRPr="00A80E29">
              <w:rPr>
                <w:sz w:val="20"/>
                <w:lang w:val="en-GB"/>
              </w:rPr>
              <w:t>for communication channel (</w:t>
            </w:r>
            <w:proofErr w:type="gramStart"/>
            <w:r w:rsidRPr="00A80E29">
              <w:rPr>
                <w:sz w:val="20"/>
                <w:lang w:val="en-GB"/>
              </w:rPr>
              <w:t>dB(</w:t>
            </w:r>
            <w:proofErr w:type="gramEnd"/>
            <w:r w:rsidRPr="00A80E29">
              <w:rPr>
                <w:sz w:val="20"/>
                <w:lang w:val="en-GB"/>
              </w:rPr>
              <w:t>Hz))</w:t>
            </w:r>
          </w:p>
        </w:tc>
        <w:tc>
          <w:tcPr>
            <w:tcW w:w="681" w:type="pct"/>
          </w:tcPr>
          <w:p w14:paraId="6EEFC8C2" w14:textId="77777777" w:rsidR="00BD5912" w:rsidRPr="00A80E29" w:rsidRDefault="00BD5912" w:rsidP="003B22AF">
            <w:pPr>
              <w:pStyle w:val="Tabletext"/>
              <w:keepNext/>
              <w:keepLines/>
              <w:spacing w:before="20" w:after="20"/>
              <w:jc w:val="center"/>
              <w:rPr>
                <w:sz w:val="20"/>
              </w:rPr>
            </w:pPr>
            <w:r w:rsidRPr="00A80E29">
              <w:rPr>
                <w:sz w:val="20"/>
              </w:rPr>
              <w:t>32</w:t>
            </w:r>
          </w:p>
        </w:tc>
        <w:tc>
          <w:tcPr>
            <w:tcW w:w="648" w:type="pct"/>
          </w:tcPr>
          <w:p w14:paraId="7FF5A5B2" w14:textId="77777777" w:rsidR="00BD5912" w:rsidRPr="00A80E29" w:rsidRDefault="00BD5912" w:rsidP="003B22AF">
            <w:pPr>
              <w:pStyle w:val="Tabletext"/>
              <w:keepNext/>
              <w:keepLines/>
              <w:spacing w:before="20" w:after="20"/>
              <w:jc w:val="center"/>
              <w:rPr>
                <w:sz w:val="20"/>
              </w:rPr>
            </w:pPr>
            <w:r w:rsidRPr="00A80E29">
              <w:rPr>
                <w:sz w:val="20"/>
              </w:rPr>
              <w:t>67</w:t>
            </w:r>
          </w:p>
        </w:tc>
        <w:tc>
          <w:tcPr>
            <w:tcW w:w="569" w:type="pct"/>
          </w:tcPr>
          <w:p w14:paraId="0DE29B2C" w14:textId="77777777" w:rsidR="00BD5912" w:rsidRPr="00A80E29" w:rsidRDefault="00BD5912" w:rsidP="003B22AF">
            <w:pPr>
              <w:pStyle w:val="Tabletext"/>
              <w:keepNext/>
              <w:keepLines/>
              <w:spacing w:before="20" w:after="20"/>
              <w:jc w:val="center"/>
              <w:rPr>
                <w:sz w:val="20"/>
              </w:rPr>
            </w:pPr>
            <w:r w:rsidRPr="00A80E29">
              <w:rPr>
                <w:sz w:val="20"/>
              </w:rPr>
              <w:t>57</w:t>
            </w:r>
          </w:p>
        </w:tc>
        <w:tc>
          <w:tcPr>
            <w:tcW w:w="551" w:type="pct"/>
          </w:tcPr>
          <w:p w14:paraId="4967A40D" w14:textId="77777777" w:rsidR="00BD5912" w:rsidRPr="00A80E29" w:rsidRDefault="00BD5912" w:rsidP="003B22AF">
            <w:pPr>
              <w:pStyle w:val="Tabletext"/>
              <w:keepNext/>
              <w:keepLines/>
              <w:spacing w:before="20" w:after="20"/>
              <w:jc w:val="center"/>
              <w:rPr>
                <w:sz w:val="20"/>
              </w:rPr>
            </w:pPr>
            <w:r w:rsidRPr="00A80E29">
              <w:rPr>
                <w:sz w:val="20"/>
              </w:rPr>
              <w:t>67</w:t>
            </w:r>
          </w:p>
        </w:tc>
        <w:tc>
          <w:tcPr>
            <w:tcW w:w="624" w:type="pct"/>
          </w:tcPr>
          <w:p w14:paraId="280D61FD" w14:textId="77777777" w:rsidR="00BD5912" w:rsidRPr="00A80E29" w:rsidRDefault="00BD5912" w:rsidP="003B22AF">
            <w:pPr>
              <w:pStyle w:val="Tabletext"/>
              <w:keepNext/>
              <w:keepLines/>
              <w:spacing w:before="20" w:after="20"/>
              <w:jc w:val="center"/>
              <w:rPr>
                <w:sz w:val="20"/>
              </w:rPr>
            </w:pPr>
            <w:r w:rsidRPr="00A80E29">
              <w:rPr>
                <w:sz w:val="20"/>
              </w:rPr>
              <w:t>57</w:t>
            </w:r>
          </w:p>
        </w:tc>
        <w:tc>
          <w:tcPr>
            <w:tcW w:w="692" w:type="pct"/>
          </w:tcPr>
          <w:p w14:paraId="2474E387" w14:textId="77777777" w:rsidR="00BD5912" w:rsidRPr="00A80E29" w:rsidRDefault="00BD5912" w:rsidP="003B22AF">
            <w:pPr>
              <w:pStyle w:val="Tabletext"/>
              <w:keepNext/>
              <w:keepLines/>
              <w:spacing w:before="20" w:after="20"/>
              <w:jc w:val="center"/>
              <w:rPr>
                <w:sz w:val="20"/>
              </w:rPr>
            </w:pPr>
            <w:r w:rsidRPr="00A80E29">
              <w:rPr>
                <w:sz w:val="20"/>
              </w:rPr>
              <w:t>67</w:t>
            </w:r>
          </w:p>
        </w:tc>
        <w:tc>
          <w:tcPr>
            <w:tcW w:w="479" w:type="pct"/>
          </w:tcPr>
          <w:p w14:paraId="334989DC" w14:textId="77777777" w:rsidR="00BD5912" w:rsidRPr="00A80E29" w:rsidRDefault="00BD5912" w:rsidP="003B22AF">
            <w:pPr>
              <w:pStyle w:val="Tabletext"/>
              <w:keepNext/>
              <w:keepLines/>
              <w:spacing w:before="20" w:after="20"/>
              <w:jc w:val="center"/>
              <w:rPr>
                <w:sz w:val="20"/>
              </w:rPr>
            </w:pPr>
            <w:r w:rsidRPr="00A80E29">
              <w:rPr>
                <w:sz w:val="20"/>
              </w:rPr>
              <w:t>57</w:t>
            </w:r>
          </w:p>
        </w:tc>
      </w:tr>
      <w:tr w:rsidR="00BD5912" w:rsidRPr="00A80E29" w14:paraId="20C01970" w14:textId="77777777" w:rsidTr="003B22AF">
        <w:trPr>
          <w:cantSplit/>
          <w:trHeight w:val="680"/>
        </w:trPr>
        <w:tc>
          <w:tcPr>
            <w:tcW w:w="757" w:type="pct"/>
          </w:tcPr>
          <w:p w14:paraId="0D0A1046" w14:textId="77777777" w:rsidR="00BD5912" w:rsidRPr="00A80E29" w:rsidRDefault="00BD5912" w:rsidP="003B22AF">
            <w:pPr>
              <w:pStyle w:val="Tabletext"/>
              <w:keepNext/>
              <w:keepLines/>
              <w:spacing w:before="20" w:after="20"/>
              <w:rPr>
                <w:sz w:val="20"/>
              </w:rPr>
            </w:pPr>
            <w:r w:rsidRPr="00A80E29">
              <w:rPr>
                <w:sz w:val="20"/>
              </w:rPr>
              <w:t xml:space="preserve">Satellite </w:t>
            </w:r>
            <w:proofErr w:type="spellStart"/>
            <w:r w:rsidRPr="00A80E29">
              <w:rPr>
                <w:sz w:val="20"/>
              </w:rPr>
              <w:t>e.i.r.p</w:t>
            </w:r>
            <w:proofErr w:type="spellEnd"/>
            <w:r w:rsidRPr="00A80E29">
              <w:rPr>
                <w:sz w:val="20"/>
              </w:rPr>
              <w:t>./</w:t>
            </w:r>
            <w:proofErr w:type="spellStart"/>
            <w:r w:rsidRPr="00A80E29">
              <w:rPr>
                <w:sz w:val="20"/>
              </w:rPr>
              <w:t>channel</w:t>
            </w:r>
            <w:proofErr w:type="spellEnd"/>
            <w:r w:rsidRPr="00A80E29">
              <w:rPr>
                <w:sz w:val="20"/>
              </w:rPr>
              <w:t xml:space="preserve"> (</w:t>
            </w:r>
            <w:proofErr w:type="spellStart"/>
            <w:r w:rsidRPr="00A80E29">
              <w:rPr>
                <w:sz w:val="20"/>
              </w:rPr>
              <w:t>dBW</w:t>
            </w:r>
            <w:proofErr w:type="spellEnd"/>
            <w:r w:rsidRPr="00A80E29">
              <w:rPr>
                <w:sz w:val="20"/>
              </w:rPr>
              <w:t>)</w:t>
            </w:r>
          </w:p>
        </w:tc>
        <w:tc>
          <w:tcPr>
            <w:tcW w:w="681" w:type="pct"/>
          </w:tcPr>
          <w:p w14:paraId="561F118A" w14:textId="77777777" w:rsidR="00BD5912" w:rsidRPr="00A80E29" w:rsidRDefault="00BD5912" w:rsidP="003B22AF">
            <w:pPr>
              <w:pStyle w:val="Tabletext"/>
              <w:keepNext/>
              <w:keepLines/>
              <w:spacing w:before="20" w:after="20"/>
              <w:jc w:val="center"/>
              <w:rPr>
                <w:sz w:val="20"/>
              </w:rPr>
            </w:pPr>
            <w:r w:rsidRPr="00A80E29">
              <w:rPr>
                <w:sz w:val="20"/>
              </w:rPr>
              <w:t>20</w:t>
            </w:r>
          </w:p>
        </w:tc>
        <w:tc>
          <w:tcPr>
            <w:tcW w:w="648" w:type="pct"/>
          </w:tcPr>
          <w:p w14:paraId="00F0B93F" w14:textId="77777777" w:rsidR="00BD5912" w:rsidRPr="00A80E29" w:rsidRDefault="00BD5912" w:rsidP="003B22AF">
            <w:pPr>
              <w:pStyle w:val="Tabletext"/>
              <w:keepNext/>
              <w:keepLines/>
              <w:spacing w:before="20" w:after="20"/>
              <w:jc w:val="center"/>
              <w:rPr>
                <w:sz w:val="20"/>
              </w:rPr>
            </w:pPr>
            <w:r w:rsidRPr="00A80E29">
              <w:rPr>
                <w:sz w:val="20"/>
              </w:rPr>
              <w:t>40.5</w:t>
            </w:r>
          </w:p>
        </w:tc>
        <w:tc>
          <w:tcPr>
            <w:tcW w:w="569" w:type="pct"/>
          </w:tcPr>
          <w:p w14:paraId="2DFF5EC2" w14:textId="77777777" w:rsidR="00BD5912" w:rsidRPr="00A80E29" w:rsidRDefault="00BD5912" w:rsidP="003B22AF">
            <w:pPr>
              <w:pStyle w:val="Tabletext"/>
              <w:keepNext/>
              <w:keepLines/>
              <w:spacing w:before="20" w:after="20"/>
              <w:jc w:val="center"/>
              <w:rPr>
                <w:sz w:val="20"/>
              </w:rPr>
            </w:pPr>
            <w:r w:rsidRPr="00A80E29">
              <w:rPr>
                <w:sz w:val="20"/>
              </w:rPr>
              <w:t>40.5</w:t>
            </w:r>
          </w:p>
        </w:tc>
        <w:tc>
          <w:tcPr>
            <w:tcW w:w="551" w:type="pct"/>
          </w:tcPr>
          <w:p w14:paraId="38E30D26" w14:textId="77777777" w:rsidR="00BD5912" w:rsidRPr="00A80E29" w:rsidRDefault="00BD5912" w:rsidP="003B22AF">
            <w:pPr>
              <w:pStyle w:val="Tabletext"/>
              <w:keepNext/>
              <w:keepLines/>
              <w:spacing w:before="20" w:after="20"/>
              <w:jc w:val="center"/>
              <w:rPr>
                <w:sz w:val="20"/>
              </w:rPr>
            </w:pPr>
            <w:r w:rsidRPr="00A80E29">
              <w:rPr>
                <w:sz w:val="20"/>
              </w:rPr>
              <w:t>40.5</w:t>
            </w:r>
          </w:p>
        </w:tc>
        <w:tc>
          <w:tcPr>
            <w:tcW w:w="624" w:type="pct"/>
          </w:tcPr>
          <w:p w14:paraId="797C3385" w14:textId="77777777" w:rsidR="00BD5912" w:rsidRPr="00A80E29" w:rsidRDefault="00BD5912" w:rsidP="003B22AF">
            <w:pPr>
              <w:pStyle w:val="Tabletext"/>
              <w:keepNext/>
              <w:keepLines/>
              <w:spacing w:before="20" w:after="20"/>
              <w:jc w:val="center"/>
              <w:rPr>
                <w:sz w:val="20"/>
              </w:rPr>
            </w:pPr>
            <w:r w:rsidRPr="00A80E29">
              <w:rPr>
                <w:sz w:val="20"/>
              </w:rPr>
              <w:t>40.5</w:t>
            </w:r>
          </w:p>
        </w:tc>
        <w:tc>
          <w:tcPr>
            <w:tcW w:w="692" w:type="pct"/>
          </w:tcPr>
          <w:p w14:paraId="2CD16D34" w14:textId="77777777" w:rsidR="00BD5912" w:rsidRPr="00A80E29" w:rsidRDefault="00BD5912" w:rsidP="003B22AF">
            <w:pPr>
              <w:pStyle w:val="Tabletext"/>
              <w:keepNext/>
              <w:keepLines/>
              <w:spacing w:before="20" w:after="20"/>
              <w:jc w:val="center"/>
              <w:rPr>
                <w:sz w:val="20"/>
              </w:rPr>
            </w:pPr>
            <w:r w:rsidRPr="00A80E29">
              <w:rPr>
                <w:sz w:val="20"/>
              </w:rPr>
              <w:t>40.5</w:t>
            </w:r>
          </w:p>
        </w:tc>
        <w:tc>
          <w:tcPr>
            <w:tcW w:w="479" w:type="pct"/>
          </w:tcPr>
          <w:p w14:paraId="79572F57" w14:textId="77777777" w:rsidR="00BD5912" w:rsidRPr="00A80E29" w:rsidRDefault="00BD5912" w:rsidP="003B22AF">
            <w:pPr>
              <w:pStyle w:val="Tabletext"/>
              <w:keepNext/>
              <w:keepLines/>
              <w:spacing w:before="20" w:after="20"/>
              <w:jc w:val="center"/>
              <w:rPr>
                <w:sz w:val="20"/>
              </w:rPr>
            </w:pPr>
            <w:r w:rsidRPr="00A80E29">
              <w:rPr>
                <w:sz w:val="20"/>
              </w:rPr>
              <w:t>40.5</w:t>
            </w:r>
          </w:p>
        </w:tc>
      </w:tr>
      <w:tr w:rsidR="00BD5912" w:rsidRPr="00A80E29" w14:paraId="128F7828" w14:textId="77777777" w:rsidTr="003B22AF">
        <w:trPr>
          <w:cantSplit/>
          <w:trHeight w:val="503"/>
        </w:trPr>
        <w:tc>
          <w:tcPr>
            <w:tcW w:w="757" w:type="pct"/>
          </w:tcPr>
          <w:p w14:paraId="049CA8D8" w14:textId="77777777" w:rsidR="00BD5912" w:rsidRPr="00A80E29" w:rsidRDefault="00BD5912" w:rsidP="003B22AF">
            <w:pPr>
              <w:pStyle w:val="Tabletext"/>
              <w:keepNext/>
              <w:keepLines/>
              <w:rPr>
                <w:sz w:val="20"/>
                <w:lang w:val="en-US"/>
              </w:rPr>
            </w:pPr>
            <w:r w:rsidRPr="00A80E29">
              <w:rPr>
                <w:sz w:val="20"/>
                <w:lang w:val="en-US"/>
              </w:rPr>
              <w:t>Channel spacing</w:t>
            </w:r>
            <w:r w:rsidRPr="00A80E29">
              <w:rPr>
                <w:sz w:val="20"/>
                <w:lang w:val="en-US"/>
              </w:rPr>
              <w:br/>
              <w:t>(nominal) (kHz)</w:t>
            </w:r>
          </w:p>
        </w:tc>
        <w:tc>
          <w:tcPr>
            <w:tcW w:w="681" w:type="pct"/>
          </w:tcPr>
          <w:p w14:paraId="09062111" w14:textId="77777777" w:rsidR="00BD5912" w:rsidRPr="00A80E29" w:rsidRDefault="00BD5912" w:rsidP="003B22AF">
            <w:pPr>
              <w:pStyle w:val="Tabletext"/>
              <w:keepNext/>
              <w:keepLines/>
              <w:spacing w:before="20" w:after="20"/>
              <w:jc w:val="center"/>
              <w:rPr>
                <w:sz w:val="20"/>
                <w:lang w:val="en-US"/>
              </w:rPr>
            </w:pPr>
            <w:r w:rsidRPr="00A80E29">
              <w:rPr>
                <w:sz w:val="20"/>
                <w:lang w:val="en-US"/>
              </w:rPr>
              <w:t>5</w:t>
            </w:r>
          </w:p>
        </w:tc>
        <w:tc>
          <w:tcPr>
            <w:tcW w:w="648" w:type="pct"/>
          </w:tcPr>
          <w:p w14:paraId="4B2F3E4D"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c>
          <w:tcPr>
            <w:tcW w:w="569" w:type="pct"/>
          </w:tcPr>
          <w:p w14:paraId="6E75E17E"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c>
          <w:tcPr>
            <w:tcW w:w="551" w:type="pct"/>
          </w:tcPr>
          <w:p w14:paraId="3B589097"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c>
          <w:tcPr>
            <w:tcW w:w="624" w:type="pct"/>
          </w:tcPr>
          <w:p w14:paraId="4FAFC766"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c>
          <w:tcPr>
            <w:tcW w:w="692" w:type="pct"/>
          </w:tcPr>
          <w:p w14:paraId="25816607"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c>
          <w:tcPr>
            <w:tcW w:w="479" w:type="pct"/>
          </w:tcPr>
          <w:p w14:paraId="7033E971" w14:textId="77777777" w:rsidR="00BD5912" w:rsidRPr="00A80E29" w:rsidRDefault="00BD5912" w:rsidP="003B22AF">
            <w:pPr>
              <w:pStyle w:val="Tabletext"/>
              <w:keepNext/>
              <w:keepLines/>
              <w:spacing w:before="20" w:after="20"/>
              <w:jc w:val="center"/>
              <w:rPr>
                <w:sz w:val="20"/>
                <w:lang w:val="en-US"/>
              </w:rPr>
            </w:pPr>
            <w:r w:rsidRPr="00A80E29">
              <w:rPr>
                <w:sz w:val="20"/>
                <w:lang w:val="en-US"/>
              </w:rPr>
              <w:t>200</w:t>
            </w:r>
          </w:p>
        </w:tc>
      </w:tr>
      <w:tr w:rsidR="00BD5912" w:rsidRPr="00A80E29" w14:paraId="7FD2CA22" w14:textId="77777777" w:rsidTr="003B22AF">
        <w:trPr>
          <w:cantSplit/>
          <w:trHeight w:val="718"/>
        </w:trPr>
        <w:tc>
          <w:tcPr>
            <w:tcW w:w="757" w:type="pct"/>
          </w:tcPr>
          <w:p w14:paraId="250163C9" w14:textId="77777777" w:rsidR="00BD5912" w:rsidRPr="00A80E29" w:rsidRDefault="00BD5912" w:rsidP="003B22AF">
            <w:pPr>
              <w:pStyle w:val="Tabletext"/>
              <w:rPr>
                <w:sz w:val="20"/>
                <w:lang w:val="en-US"/>
              </w:rPr>
            </w:pPr>
            <w:r w:rsidRPr="00A80E29">
              <w:rPr>
                <w:sz w:val="20"/>
                <w:lang w:val="en-US"/>
              </w:rPr>
              <w:t>Satellite peak antenna gain</w:t>
            </w:r>
            <w:r w:rsidRPr="00A80E29">
              <w:rPr>
                <w:sz w:val="20"/>
                <w:vertAlign w:val="superscript"/>
                <w:lang w:val="en-US"/>
              </w:rPr>
              <w:t xml:space="preserve"> (1)</w:t>
            </w:r>
            <w:r w:rsidRPr="00A80E29">
              <w:rPr>
                <w:sz w:val="20"/>
                <w:lang w:val="en-US"/>
              </w:rPr>
              <w:t xml:space="preserve"> (</w:t>
            </w:r>
            <w:proofErr w:type="spellStart"/>
            <w:r w:rsidRPr="00A80E29">
              <w:rPr>
                <w:sz w:val="20"/>
                <w:lang w:val="en-US"/>
              </w:rPr>
              <w:t>dBi</w:t>
            </w:r>
            <w:proofErr w:type="spellEnd"/>
            <w:r w:rsidRPr="00A80E29">
              <w:rPr>
                <w:sz w:val="20"/>
                <w:lang w:val="en-US"/>
              </w:rPr>
              <w:t>)</w:t>
            </w:r>
          </w:p>
        </w:tc>
        <w:tc>
          <w:tcPr>
            <w:tcW w:w="681" w:type="pct"/>
          </w:tcPr>
          <w:p w14:paraId="415DD3E9" w14:textId="77777777" w:rsidR="00BD5912" w:rsidRPr="00A80E29" w:rsidRDefault="00BD5912" w:rsidP="003B22AF">
            <w:pPr>
              <w:pStyle w:val="Tabletext"/>
              <w:spacing w:before="20" w:after="20"/>
              <w:jc w:val="center"/>
              <w:rPr>
                <w:sz w:val="20"/>
                <w:lang w:val="en-US"/>
              </w:rPr>
            </w:pPr>
            <w:r w:rsidRPr="00A80E29">
              <w:rPr>
                <w:sz w:val="20"/>
                <w:lang w:val="en-US"/>
              </w:rPr>
              <w:t>18</w:t>
            </w:r>
          </w:p>
        </w:tc>
        <w:tc>
          <w:tcPr>
            <w:tcW w:w="648" w:type="pct"/>
          </w:tcPr>
          <w:p w14:paraId="47976CD5" w14:textId="77777777" w:rsidR="00BD5912" w:rsidRPr="00A80E29" w:rsidRDefault="00BD5912" w:rsidP="003B22AF">
            <w:pPr>
              <w:pStyle w:val="Tabletext"/>
              <w:spacing w:before="20" w:after="20"/>
              <w:jc w:val="center"/>
              <w:rPr>
                <w:sz w:val="20"/>
                <w:lang w:val="en-US"/>
              </w:rPr>
            </w:pPr>
            <w:r w:rsidRPr="00A80E29">
              <w:rPr>
                <w:sz w:val="20"/>
                <w:lang w:val="en-US"/>
              </w:rPr>
              <w:t>41</w:t>
            </w:r>
          </w:p>
        </w:tc>
        <w:tc>
          <w:tcPr>
            <w:tcW w:w="569" w:type="pct"/>
          </w:tcPr>
          <w:p w14:paraId="17370365" w14:textId="77777777" w:rsidR="00BD5912" w:rsidRPr="00A80E29" w:rsidRDefault="00BD5912" w:rsidP="003B22AF">
            <w:pPr>
              <w:pStyle w:val="Tabletext"/>
              <w:spacing w:before="20" w:after="20"/>
              <w:jc w:val="center"/>
              <w:rPr>
                <w:sz w:val="20"/>
                <w:lang w:val="en-US"/>
              </w:rPr>
            </w:pPr>
            <w:r w:rsidRPr="00A80E29">
              <w:rPr>
                <w:sz w:val="20"/>
                <w:lang w:val="en-US"/>
              </w:rPr>
              <w:t>41</w:t>
            </w:r>
          </w:p>
        </w:tc>
        <w:tc>
          <w:tcPr>
            <w:tcW w:w="551" w:type="pct"/>
          </w:tcPr>
          <w:p w14:paraId="3489EF44" w14:textId="77777777" w:rsidR="00BD5912" w:rsidRPr="00A80E29" w:rsidRDefault="00BD5912" w:rsidP="003B22AF">
            <w:pPr>
              <w:pStyle w:val="Tabletext"/>
              <w:spacing w:before="20" w:after="20"/>
              <w:jc w:val="center"/>
              <w:rPr>
                <w:sz w:val="20"/>
                <w:lang w:val="en-US"/>
              </w:rPr>
            </w:pPr>
            <w:r w:rsidRPr="00A80E29">
              <w:rPr>
                <w:sz w:val="20"/>
                <w:lang w:val="en-US"/>
              </w:rPr>
              <w:t>41</w:t>
            </w:r>
          </w:p>
        </w:tc>
        <w:tc>
          <w:tcPr>
            <w:tcW w:w="624" w:type="pct"/>
          </w:tcPr>
          <w:p w14:paraId="2AACD8AC" w14:textId="77777777" w:rsidR="00BD5912" w:rsidRPr="00A80E29" w:rsidRDefault="00BD5912" w:rsidP="003B22AF">
            <w:pPr>
              <w:pStyle w:val="Tabletext"/>
              <w:spacing w:before="20" w:after="20"/>
              <w:jc w:val="center"/>
              <w:rPr>
                <w:sz w:val="20"/>
                <w:lang w:val="en-US"/>
              </w:rPr>
            </w:pPr>
            <w:r w:rsidRPr="00A80E29">
              <w:rPr>
                <w:sz w:val="20"/>
                <w:lang w:val="en-US"/>
              </w:rPr>
              <w:t>41</w:t>
            </w:r>
          </w:p>
        </w:tc>
        <w:tc>
          <w:tcPr>
            <w:tcW w:w="692" w:type="pct"/>
          </w:tcPr>
          <w:p w14:paraId="44011793" w14:textId="77777777" w:rsidR="00BD5912" w:rsidRPr="00A80E29" w:rsidRDefault="00BD5912" w:rsidP="003B22AF">
            <w:pPr>
              <w:pStyle w:val="Tabletext"/>
              <w:spacing w:before="20" w:after="20"/>
              <w:jc w:val="center"/>
              <w:rPr>
                <w:sz w:val="20"/>
                <w:lang w:val="en-US"/>
              </w:rPr>
            </w:pPr>
            <w:r w:rsidRPr="00A80E29">
              <w:rPr>
                <w:sz w:val="20"/>
                <w:lang w:val="en-US"/>
              </w:rPr>
              <w:t>41</w:t>
            </w:r>
          </w:p>
        </w:tc>
        <w:tc>
          <w:tcPr>
            <w:tcW w:w="479" w:type="pct"/>
          </w:tcPr>
          <w:p w14:paraId="78F23B1D" w14:textId="77777777" w:rsidR="00BD5912" w:rsidRPr="00A80E29" w:rsidRDefault="00BD5912" w:rsidP="003B22AF">
            <w:pPr>
              <w:pStyle w:val="Tabletext"/>
              <w:spacing w:before="20" w:after="20"/>
              <w:jc w:val="center"/>
              <w:rPr>
                <w:sz w:val="20"/>
                <w:lang w:val="en-US"/>
              </w:rPr>
            </w:pPr>
            <w:r w:rsidRPr="00A80E29">
              <w:rPr>
                <w:sz w:val="20"/>
                <w:lang w:val="en-US"/>
              </w:rPr>
              <w:t>41</w:t>
            </w:r>
          </w:p>
        </w:tc>
      </w:tr>
    </w:tbl>
    <w:p w14:paraId="54A16B44" w14:textId="77777777" w:rsidR="00BD5912" w:rsidRPr="00E43DD7" w:rsidRDefault="00BD5912" w:rsidP="00BD5912">
      <w:pPr>
        <w:rPr>
          <w:lang w:val="en-GB"/>
        </w:rPr>
      </w:pPr>
    </w:p>
    <w:p w14:paraId="4F9D05B7" w14:textId="77777777" w:rsidR="00BD5912" w:rsidRPr="00E43DD7" w:rsidRDefault="00BD5912" w:rsidP="00BD5912">
      <w:pPr>
        <w:rPr>
          <w:i/>
          <w:iCs/>
        </w:rPr>
      </w:pPr>
      <w:r w:rsidRPr="00E43DD7">
        <w:lastRenderedPageBreak/>
        <w:t>Interference criteria for the mobile-satellite service is found in ITU-R Recommendation M.1183</w:t>
      </w:r>
      <w:r w:rsidRPr="00E43DD7">
        <w:noBreakHyphen/>
        <w:t>0.</w:t>
      </w:r>
    </w:p>
    <w:p w14:paraId="55F11A8A" w14:textId="77777777" w:rsidR="00BD5912" w:rsidRPr="00E43DD7" w:rsidRDefault="00BD5912" w:rsidP="00BD5912"/>
    <w:p w14:paraId="1D9410E7" w14:textId="77777777" w:rsidR="00BD5912" w:rsidRPr="00E43DD7" w:rsidRDefault="00BD5912" w:rsidP="00BD5912">
      <w:r w:rsidRPr="00E43DD7">
        <w:t>The methodology for determining performance objectives for narrow-band channels in mobile satellite systems using geostationary satellites not forming part of the ISDN is contained in ITU</w:t>
      </w:r>
      <w:r w:rsidRPr="00E43DD7">
        <w:noBreakHyphen/>
        <w:t>R Recommendation M.1228, and other ITU-R M series recommendations may be relevant.</w:t>
      </w:r>
    </w:p>
    <w:p w14:paraId="71B25264" w14:textId="77777777" w:rsidR="00C66E15" w:rsidRPr="00980DD5" w:rsidRDefault="00C66E15" w:rsidP="00C66E15">
      <w:pPr>
        <w:shd w:val="clear" w:color="auto" w:fill="FFFFFF"/>
        <w:textAlignment w:val="baseline"/>
        <w:rPr>
          <w:color w:val="000000"/>
        </w:rPr>
      </w:pPr>
    </w:p>
    <w:p w14:paraId="1C1F40AA" w14:textId="14803C97" w:rsidR="00C66E15" w:rsidRPr="00980DD5" w:rsidRDefault="00C66E15" w:rsidP="00C66E15">
      <w:pPr>
        <w:shd w:val="clear" w:color="auto" w:fill="FFFFFF"/>
        <w:textAlignment w:val="baseline"/>
        <w:rPr>
          <w:b/>
          <w:bCs/>
          <w:color w:val="000000"/>
        </w:rPr>
      </w:pPr>
      <w:r w:rsidRPr="00980DD5">
        <w:rPr>
          <w:b/>
          <w:bCs/>
          <w:color w:val="000000"/>
        </w:rPr>
        <w:t>3.1.2 User Space Station Characteristics</w:t>
      </w:r>
      <w:r w:rsidR="002D6D68">
        <w:rPr>
          <w:b/>
          <w:bCs/>
          <w:color w:val="000000"/>
        </w:rPr>
        <w:t xml:space="preserve"> for GSO MSS Service Providers</w:t>
      </w:r>
    </w:p>
    <w:p w14:paraId="1311B602" w14:textId="77777777" w:rsidR="00E43DD7" w:rsidRDefault="00E43DD7" w:rsidP="00E43DD7">
      <w:pPr>
        <w:shd w:val="clear" w:color="auto" w:fill="FFFFFF"/>
        <w:textAlignment w:val="baseline"/>
        <w:rPr>
          <w:color w:val="000000"/>
        </w:rPr>
      </w:pPr>
    </w:p>
    <w:p w14:paraId="4FEAD212" w14:textId="77777777" w:rsidR="002D6D68" w:rsidRPr="00E43DD7" w:rsidRDefault="002D6D68" w:rsidP="002D6D68">
      <w:pPr>
        <w:tabs>
          <w:tab w:val="left" w:pos="1134"/>
          <w:tab w:val="left" w:pos="1871"/>
          <w:tab w:val="left" w:pos="2268"/>
        </w:tabs>
        <w:overflowPunct w:val="0"/>
        <w:autoSpaceDE w:val="0"/>
        <w:autoSpaceDN w:val="0"/>
        <w:adjustRightInd w:val="0"/>
        <w:spacing w:before="120" w:after="240"/>
        <w:textAlignment w:val="baseline"/>
        <w:rPr>
          <w:lang w:val="en-GB"/>
        </w:rPr>
      </w:pPr>
      <w:r w:rsidRPr="00E43DD7">
        <w:rPr>
          <w:lang w:val="en-GB"/>
        </w:rPr>
        <w:t>User station characteristics to be used for studies are as follows:</w:t>
      </w:r>
    </w:p>
    <w:tbl>
      <w:tblPr>
        <w:tblW w:w="9479" w:type="dxa"/>
        <w:tblLook w:val="04A0" w:firstRow="1" w:lastRow="0" w:firstColumn="1" w:lastColumn="0" w:noHBand="0" w:noVBand="1"/>
      </w:tblPr>
      <w:tblGrid>
        <w:gridCol w:w="3947"/>
        <w:gridCol w:w="1486"/>
        <w:gridCol w:w="1418"/>
        <w:gridCol w:w="1429"/>
        <w:gridCol w:w="1199"/>
      </w:tblGrid>
      <w:tr w:rsidR="002D6D68" w:rsidRPr="00E43DD7" w14:paraId="073C947B" w14:textId="77777777" w:rsidTr="003B22AF">
        <w:trPr>
          <w:trHeight w:val="289"/>
        </w:trPr>
        <w:tc>
          <w:tcPr>
            <w:tcW w:w="40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89EAAE" w14:textId="77777777" w:rsidR="002D6D68" w:rsidRPr="003B22AF" w:rsidRDefault="002D6D68" w:rsidP="003B22AF">
            <w:pPr>
              <w:jc w:val="center"/>
              <w:rPr>
                <w:b/>
                <w:bCs/>
                <w:color w:val="000000"/>
              </w:rPr>
            </w:pPr>
            <w:r w:rsidRPr="003B22AF">
              <w:rPr>
                <w:b/>
                <w:bCs/>
                <w:color w:val="000000"/>
              </w:rPr>
              <w:t>LEO/GEO MSS communications example characteristics</w:t>
            </w:r>
          </w:p>
        </w:tc>
        <w:tc>
          <w:tcPr>
            <w:tcW w:w="5381"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BFD15DE" w14:textId="77777777" w:rsidR="002D6D68" w:rsidRPr="003B22AF" w:rsidRDefault="002D6D68" w:rsidP="003B22AF">
            <w:pPr>
              <w:jc w:val="center"/>
              <w:rPr>
                <w:color w:val="000000"/>
              </w:rPr>
            </w:pPr>
            <w:r w:rsidRPr="003B22AF">
              <w:rPr>
                <w:color w:val="000000"/>
              </w:rPr>
              <w:t>Antenna Type</w:t>
            </w:r>
          </w:p>
        </w:tc>
      </w:tr>
      <w:tr w:rsidR="002D6D68" w:rsidRPr="00E43DD7" w14:paraId="384E4694" w14:textId="77777777" w:rsidTr="003B22AF">
        <w:trPr>
          <w:trHeight w:val="385"/>
        </w:trPr>
        <w:tc>
          <w:tcPr>
            <w:tcW w:w="4098" w:type="dxa"/>
            <w:vMerge/>
            <w:tcBorders>
              <w:top w:val="single" w:sz="8" w:space="0" w:color="auto"/>
              <w:left w:val="single" w:sz="8" w:space="0" w:color="auto"/>
              <w:bottom w:val="single" w:sz="8" w:space="0" w:color="000000"/>
              <w:right w:val="single" w:sz="8" w:space="0" w:color="auto"/>
            </w:tcBorders>
            <w:vAlign w:val="center"/>
            <w:hideMark/>
          </w:tcPr>
          <w:p w14:paraId="3A18FA51" w14:textId="77777777" w:rsidR="002D6D68" w:rsidRPr="003B22AF" w:rsidRDefault="002D6D68" w:rsidP="003B22AF">
            <w:pPr>
              <w:rPr>
                <w:b/>
                <w:bCs/>
                <w:color w:val="000000"/>
              </w:rPr>
            </w:pPr>
          </w:p>
        </w:tc>
        <w:tc>
          <w:tcPr>
            <w:tcW w:w="1486" w:type="dxa"/>
            <w:tcBorders>
              <w:top w:val="nil"/>
              <w:left w:val="nil"/>
              <w:bottom w:val="single" w:sz="8" w:space="0" w:color="auto"/>
              <w:right w:val="single" w:sz="4" w:space="0" w:color="auto"/>
            </w:tcBorders>
            <w:shd w:val="clear" w:color="auto" w:fill="auto"/>
            <w:vAlign w:val="center"/>
            <w:hideMark/>
          </w:tcPr>
          <w:p w14:paraId="6B47C1C7" w14:textId="77777777" w:rsidR="002D6D68" w:rsidRPr="003B22AF" w:rsidRDefault="002D6D68" w:rsidP="003B22AF">
            <w:pPr>
              <w:jc w:val="center"/>
              <w:rPr>
                <w:color w:val="000000"/>
              </w:rPr>
            </w:pPr>
            <w:r w:rsidRPr="003B22AF">
              <w:rPr>
                <w:color w:val="000000"/>
              </w:rPr>
              <w:t>Patch</w:t>
            </w:r>
          </w:p>
        </w:tc>
        <w:tc>
          <w:tcPr>
            <w:tcW w:w="1423" w:type="dxa"/>
            <w:tcBorders>
              <w:top w:val="nil"/>
              <w:left w:val="nil"/>
              <w:bottom w:val="single" w:sz="8" w:space="0" w:color="auto"/>
              <w:right w:val="single" w:sz="4" w:space="0" w:color="auto"/>
            </w:tcBorders>
            <w:shd w:val="clear" w:color="auto" w:fill="auto"/>
            <w:vAlign w:val="center"/>
            <w:hideMark/>
          </w:tcPr>
          <w:p w14:paraId="3AE1CCA7" w14:textId="77777777" w:rsidR="002D6D68" w:rsidRPr="003B22AF" w:rsidRDefault="002D6D68" w:rsidP="003B22AF">
            <w:pPr>
              <w:jc w:val="center"/>
              <w:rPr>
                <w:color w:val="000000"/>
              </w:rPr>
            </w:pPr>
            <w:r w:rsidRPr="003B22AF">
              <w:rPr>
                <w:color w:val="000000"/>
              </w:rPr>
              <w:t>Low Gain</w:t>
            </w:r>
          </w:p>
        </w:tc>
        <w:tc>
          <w:tcPr>
            <w:tcW w:w="1267" w:type="dxa"/>
            <w:tcBorders>
              <w:top w:val="nil"/>
              <w:left w:val="nil"/>
              <w:bottom w:val="single" w:sz="8" w:space="0" w:color="auto"/>
              <w:right w:val="single" w:sz="4" w:space="0" w:color="auto"/>
            </w:tcBorders>
            <w:shd w:val="clear" w:color="auto" w:fill="auto"/>
            <w:vAlign w:val="center"/>
            <w:hideMark/>
          </w:tcPr>
          <w:p w14:paraId="03750919" w14:textId="77777777" w:rsidR="002D6D68" w:rsidRPr="003B22AF" w:rsidRDefault="002D6D68" w:rsidP="003B22AF">
            <w:pPr>
              <w:jc w:val="center"/>
              <w:rPr>
                <w:color w:val="000000"/>
              </w:rPr>
            </w:pPr>
            <w:r w:rsidRPr="003B22AF">
              <w:rPr>
                <w:color w:val="000000"/>
              </w:rPr>
              <w:t>Intermediate Gain</w:t>
            </w:r>
          </w:p>
        </w:tc>
        <w:tc>
          <w:tcPr>
            <w:tcW w:w="1204" w:type="dxa"/>
            <w:tcBorders>
              <w:top w:val="nil"/>
              <w:left w:val="nil"/>
              <w:bottom w:val="single" w:sz="8" w:space="0" w:color="auto"/>
              <w:right w:val="single" w:sz="8" w:space="0" w:color="auto"/>
            </w:tcBorders>
            <w:shd w:val="clear" w:color="auto" w:fill="auto"/>
            <w:vAlign w:val="center"/>
            <w:hideMark/>
          </w:tcPr>
          <w:p w14:paraId="3BEAC32C" w14:textId="77777777" w:rsidR="002D6D68" w:rsidRPr="003B22AF" w:rsidRDefault="002D6D68" w:rsidP="003B22AF">
            <w:pPr>
              <w:jc w:val="center"/>
              <w:rPr>
                <w:color w:val="000000"/>
              </w:rPr>
            </w:pPr>
            <w:r w:rsidRPr="003B22AF">
              <w:rPr>
                <w:color w:val="000000"/>
              </w:rPr>
              <w:t>High Gain</w:t>
            </w:r>
          </w:p>
        </w:tc>
      </w:tr>
      <w:tr w:rsidR="002D6D68" w:rsidRPr="00E43DD7" w14:paraId="1F9119A4" w14:textId="77777777" w:rsidTr="003B22AF">
        <w:trPr>
          <w:trHeight w:val="366"/>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2DF65C35" w14:textId="77777777" w:rsidR="002D6D68" w:rsidRPr="003B22AF" w:rsidRDefault="002D6D68" w:rsidP="003B22AF">
            <w:pPr>
              <w:rPr>
                <w:color w:val="000000"/>
              </w:rPr>
            </w:pPr>
            <w:r w:rsidRPr="003B22AF">
              <w:rPr>
                <w:color w:val="000000"/>
              </w:rPr>
              <w:t>Transmit Band (MHz)</w:t>
            </w:r>
          </w:p>
        </w:tc>
        <w:tc>
          <w:tcPr>
            <w:tcW w:w="5381" w:type="dxa"/>
            <w:gridSpan w:val="4"/>
            <w:tcBorders>
              <w:top w:val="nil"/>
              <w:left w:val="nil"/>
              <w:bottom w:val="single" w:sz="4" w:space="0" w:color="auto"/>
              <w:right w:val="single" w:sz="4" w:space="0" w:color="000000"/>
            </w:tcBorders>
            <w:shd w:val="clear" w:color="auto" w:fill="auto"/>
            <w:vAlign w:val="center"/>
            <w:hideMark/>
          </w:tcPr>
          <w:p w14:paraId="5F3C18D2" w14:textId="77777777" w:rsidR="002D6D68" w:rsidRPr="003B22AF" w:rsidRDefault="002D6D68" w:rsidP="003B22AF">
            <w:pPr>
              <w:jc w:val="center"/>
              <w:rPr>
                <w:color w:val="000000"/>
              </w:rPr>
            </w:pPr>
            <w:r w:rsidRPr="003B22AF">
              <w:rPr>
                <w:color w:val="000000"/>
              </w:rPr>
              <w:t>1626.5-1660.5, 1668-1675</w:t>
            </w:r>
          </w:p>
        </w:tc>
      </w:tr>
      <w:tr w:rsidR="002D6D68" w:rsidRPr="00E43DD7" w14:paraId="53D41037" w14:textId="77777777" w:rsidTr="003B22AF">
        <w:trPr>
          <w:trHeight w:val="452"/>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1C916AE4" w14:textId="77777777" w:rsidR="002D6D68" w:rsidRPr="003B22AF" w:rsidRDefault="002D6D68" w:rsidP="003B22AF">
            <w:pPr>
              <w:rPr>
                <w:color w:val="000000"/>
              </w:rPr>
            </w:pPr>
            <w:r w:rsidRPr="003B22AF">
              <w:rPr>
                <w:color w:val="000000"/>
              </w:rPr>
              <w:t>Receive Band (MHz)</w:t>
            </w:r>
          </w:p>
        </w:tc>
        <w:tc>
          <w:tcPr>
            <w:tcW w:w="5381" w:type="dxa"/>
            <w:gridSpan w:val="4"/>
            <w:tcBorders>
              <w:top w:val="single" w:sz="4" w:space="0" w:color="auto"/>
              <w:left w:val="nil"/>
              <w:bottom w:val="single" w:sz="4" w:space="0" w:color="auto"/>
              <w:right w:val="single" w:sz="4" w:space="0" w:color="000000"/>
            </w:tcBorders>
            <w:shd w:val="clear" w:color="auto" w:fill="auto"/>
            <w:vAlign w:val="center"/>
            <w:hideMark/>
          </w:tcPr>
          <w:p w14:paraId="11BE7D28" w14:textId="77777777" w:rsidR="002D6D68" w:rsidRPr="003B22AF" w:rsidRDefault="002D6D68" w:rsidP="003B22AF">
            <w:pPr>
              <w:jc w:val="center"/>
              <w:rPr>
                <w:color w:val="000000"/>
              </w:rPr>
            </w:pPr>
            <w:r w:rsidRPr="003B22AF">
              <w:rPr>
                <w:color w:val="000000"/>
              </w:rPr>
              <w:t>1518-1559</w:t>
            </w:r>
          </w:p>
        </w:tc>
      </w:tr>
      <w:tr w:rsidR="002D6D68" w:rsidRPr="00E43DD7" w14:paraId="3E230432" w14:textId="77777777" w:rsidTr="003B22AF">
        <w:trPr>
          <w:trHeight w:val="510"/>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097F0006" w14:textId="77777777" w:rsidR="002D6D68" w:rsidRPr="003B22AF" w:rsidRDefault="002D6D68" w:rsidP="003B22AF">
            <w:pPr>
              <w:rPr>
                <w:color w:val="000000"/>
              </w:rPr>
            </w:pPr>
            <w:r w:rsidRPr="003B22AF">
              <w:rPr>
                <w:color w:val="000000"/>
              </w:rPr>
              <w:t>Channel Bandwidth (kHz)</w:t>
            </w:r>
          </w:p>
        </w:tc>
        <w:tc>
          <w:tcPr>
            <w:tcW w:w="1486" w:type="dxa"/>
            <w:tcBorders>
              <w:top w:val="nil"/>
              <w:left w:val="nil"/>
              <w:bottom w:val="single" w:sz="4" w:space="0" w:color="auto"/>
              <w:right w:val="single" w:sz="4" w:space="0" w:color="auto"/>
            </w:tcBorders>
            <w:shd w:val="clear" w:color="auto" w:fill="auto"/>
            <w:vAlign w:val="center"/>
            <w:hideMark/>
          </w:tcPr>
          <w:p w14:paraId="6830AB30" w14:textId="77777777" w:rsidR="002D6D68" w:rsidRPr="003B22AF" w:rsidRDefault="002D6D68" w:rsidP="003B22AF">
            <w:pPr>
              <w:jc w:val="center"/>
              <w:rPr>
                <w:color w:val="000000"/>
              </w:rPr>
            </w:pPr>
            <w:r w:rsidRPr="003B22AF">
              <w:rPr>
                <w:color w:val="000000"/>
              </w:rPr>
              <w:t>200</w:t>
            </w:r>
          </w:p>
        </w:tc>
        <w:tc>
          <w:tcPr>
            <w:tcW w:w="3895" w:type="dxa"/>
            <w:gridSpan w:val="3"/>
            <w:tcBorders>
              <w:top w:val="single" w:sz="4" w:space="0" w:color="auto"/>
              <w:left w:val="nil"/>
              <w:bottom w:val="single" w:sz="4" w:space="0" w:color="auto"/>
              <w:right w:val="single" w:sz="4" w:space="0" w:color="000000"/>
            </w:tcBorders>
            <w:shd w:val="clear" w:color="auto" w:fill="auto"/>
            <w:vAlign w:val="center"/>
            <w:hideMark/>
          </w:tcPr>
          <w:p w14:paraId="2E243571" w14:textId="77777777" w:rsidR="002D6D68" w:rsidRPr="003B22AF" w:rsidRDefault="002D6D68" w:rsidP="003B22AF">
            <w:pPr>
              <w:jc w:val="center"/>
              <w:rPr>
                <w:color w:val="000000"/>
              </w:rPr>
            </w:pPr>
            <w:r w:rsidRPr="003B22AF">
              <w:rPr>
                <w:color w:val="000000"/>
              </w:rPr>
              <w:t>10.5, 21, 42, 84, 189</w:t>
            </w:r>
          </w:p>
        </w:tc>
      </w:tr>
      <w:tr w:rsidR="002D6D68" w:rsidRPr="00E43DD7" w14:paraId="7E9333C5" w14:textId="77777777" w:rsidTr="003B22AF">
        <w:trPr>
          <w:trHeight w:val="549"/>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6064CB54" w14:textId="77777777" w:rsidR="002D6D68" w:rsidRPr="003B22AF" w:rsidRDefault="002D6D68" w:rsidP="003B22AF">
            <w:pPr>
              <w:rPr>
                <w:color w:val="000000"/>
              </w:rPr>
            </w:pPr>
            <w:r w:rsidRPr="003B22AF">
              <w:rPr>
                <w:color w:val="000000"/>
              </w:rPr>
              <w:t xml:space="preserve">Maximum </w:t>
            </w:r>
            <w:proofErr w:type="spellStart"/>
            <w:r w:rsidRPr="003B22AF">
              <w:rPr>
                <w:color w:val="000000"/>
              </w:rPr>
              <w:t>E.i.r.p</w:t>
            </w:r>
            <w:proofErr w:type="spellEnd"/>
            <w:r w:rsidRPr="003B22AF">
              <w:rPr>
                <w:color w:val="000000"/>
              </w:rPr>
              <w:t>. (</w:t>
            </w:r>
            <w:proofErr w:type="spellStart"/>
            <w:r w:rsidRPr="003B22AF">
              <w:rPr>
                <w:color w:val="000000"/>
              </w:rPr>
              <w:t>dBW</w:t>
            </w:r>
            <w:proofErr w:type="spellEnd"/>
            <w:r w:rsidRPr="003B22AF">
              <w:rPr>
                <w:color w:val="000000"/>
              </w:rPr>
              <w:t>)</w:t>
            </w:r>
          </w:p>
        </w:tc>
        <w:tc>
          <w:tcPr>
            <w:tcW w:w="1486" w:type="dxa"/>
            <w:tcBorders>
              <w:top w:val="nil"/>
              <w:left w:val="nil"/>
              <w:bottom w:val="single" w:sz="4" w:space="0" w:color="auto"/>
              <w:right w:val="single" w:sz="4" w:space="0" w:color="auto"/>
            </w:tcBorders>
            <w:shd w:val="clear" w:color="auto" w:fill="auto"/>
            <w:vAlign w:val="center"/>
            <w:hideMark/>
          </w:tcPr>
          <w:p w14:paraId="15D93534" w14:textId="77777777" w:rsidR="002D6D68" w:rsidRPr="003B22AF" w:rsidRDefault="002D6D68" w:rsidP="003B22AF">
            <w:pPr>
              <w:jc w:val="center"/>
              <w:rPr>
                <w:color w:val="000000"/>
              </w:rPr>
            </w:pPr>
            <w:r w:rsidRPr="003B22AF">
              <w:rPr>
                <w:color w:val="000000"/>
              </w:rPr>
              <w:t xml:space="preserve">-1 to 10 </w:t>
            </w:r>
            <w:proofErr w:type="spellStart"/>
            <w:r w:rsidRPr="003B22AF">
              <w:rPr>
                <w:color w:val="000000"/>
              </w:rPr>
              <w:t>dBW</w:t>
            </w:r>
            <w:proofErr w:type="spellEnd"/>
          </w:p>
        </w:tc>
        <w:tc>
          <w:tcPr>
            <w:tcW w:w="1423" w:type="dxa"/>
            <w:tcBorders>
              <w:top w:val="nil"/>
              <w:left w:val="nil"/>
              <w:bottom w:val="single" w:sz="4" w:space="0" w:color="auto"/>
              <w:right w:val="single" w:sz="4" w:space="0" w:color="auto"/>
            </w:tcBorders>
            <w:shd w:val="clear" w:color="auto" w:fill="auto"/>
            <w:vAlign w:val="center"/>
            <w:hideMark/>
          </w:tcPr>
          <w:p w14:paraId="48DABDA5" w14:textId="77777777" w:rsidR="002D6D68" w:rsidRPr="003B22AF" w:rsidRDefault="002D6D68" w:rsidP="003B22AF">
            <w:pPr>
              <w:jc w:val="center"/>
              <w:rPr>
                <w:color w:val="000000"/>
              </w:rPr>
            </w:pPr>
            <w:r w:rsidRPr="003B22AF">
              <w:rPr>
                <w:color w:val="000000"/>
              </w:rPr>
              <w:t>10</w:t>
            </w:r>
          </w:p>
        </w:tc>
        <w:tc>
          <w:tcPr>
            <w:tcW w:w="1267" w:type="dxa"/>
            <w:tcBorders>
              <w:top w:val="nil"/>
              <w:left w:val="nil"/>
              <w:bottom w:val="single" w:sz="4" w:space="0" w:color="auto"/>
              <w:right w:val="single" w:sz="4" w:space="0" w:color="auto"/>
            </w:tcBorders>
            <w:shd w:val="clear" w:color="auto" w:fill="auto"/>
            <w:vAlign w:val="center"/>
            <w:hideMark/>
          </w:tcPr>
          <w:p w14:paraId="0AAA2DCC" w14:textId="77777777" w:rsidR="002D6D68" w:rsidRPr="003B22AF" w:rsidRDefault="002D6D68" w:rsidP="003B22AF">
            <w:pPr>
              <w:jc w:val="center"/>
              <w:rPr>
                <w:color w:val="000000"/>
              </w:rPr>
            </w:pPr>
            <w:r w:rsidRPr="003B22AF">
              <w:rPr>
                <w:color w:val="000000"/>
              </w:rPr>
              <w:t>15.1</w:t>
            </w:r>
          </w:p>
        </w:tc>
        <w:tc>
          <w:tcPr>
            <w:tcW w:w="1204" w:type="dxa"/>
            <w:tcBorders>
              <w:top w:val="nil"/>
              <w:left w:val="nil"/>
              <w:bottom w:val="single" w:sz="4" w:space="0" w:color="auto"/>
              <w:right w:val="single" w:sz="4" w:space="0" w:color="auto"/>
            </w:tcBorders>
            <w:shd w:val="clear" w:color="auto" w:fill="auto"/>
            <w:vAlign w:val="center"/>
            <w:hideMark/>
          </w:tcPr>
          <w:p w14:paraId="3DABB032" w14:textId="77777777" w:rsidR="002D6D68" w:rsidRPr="003B22AF" w:rsidRDefault="002D6D68" w:rsidP="003B22AF">
            <w:pPr>
              <w:jc w:val="center"/>
              <w:rPr>
                <w:color w:val="000000"/>
              </w:rPr>
            </w:pPr>
            <w:r w:rsidRPr="003B22AF">
              <w:rPr>
                <w:color w:val="000000"/>
              </w:rPr>
              <w:t>20</w:t>
            </w:r>
          </w:p>
        </w:tc>
      </w:tr>
      <w:tr w:rsidR="002D6D68" w:rsidRPr="00E43DD7" w14:paraId="538A38C1" w14:textId="77777777" w:rsidTr="003B22AF">
        <w:trPr>
          <w:trHeight w:val="693"/>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703602F3" w14:textId="77777777" w:rsidR="002D6D68" w:rsidRPr="003B22AF" w:rsidRDefault="002D6D68" w:rsidP="003B22AF">
            <w:pPr>
              <w:rPr>
                <w:color w:val="000000"/>
              </w:rPr>
            </w:pPr>
            <w:r w:rsidRPr="003B22AF">
              <w:rPr>
                <w:color w:val="000000"/>
              </w:rPr>
              <w:t>Antenna type</w:t>
            </w:r>
          </w:p>
        </w:tc>
        <w:tc>
          <w:tcPr>
            <w:tcW w:w="1486" w:type="dxa"/>
            <w:tcBorders>
              <w:top w:val="nil"/>
              <w:left w:val="nil"/>
              <w:bottom w:val="single" w:sz="4" w:space="0" w:color="auto"/>
              <w:right w:val="single" w:sz="4" w:space="0" w:color="auto"/>
            </w:tcBorders>
            <w:shd w:val="clear" w:color="auto" w:fill="auto"/>
            <w:vAlign w:val="center"/>
            <w:hideMark/>
          </w:tcPr>
          <w:p w14:paraId="631C242E" w14:textId="77777777" w:rsidR="002D6D68" w:rsidRPr="003B22AF" w:rsidRDefault="002D6D68" w:rsidP="003B22AF">
            <w:pPr>
              <w:jc w:val="center"/>
              <w:rPr>
                <w:color w:val="000000"/>
              </w:rPr>
            </w:pPr>
            <w:r w:rsidRPr="003B22AF">
              <w:rPr>
                <w:color w:val="000000"/>
              </w:rPr>
              <w:t>patch/omni</w:t>
            </w:r>
          </w:p>
        </w:tc>
        <w:tc>
          <w:tcPr>
            <w:tcW w:w="3895" w:type="dxa"/>
            <w:gridSpan w:val="3"/>
            <w:tcBorders>
              <w:top w:val="single" w:sz="4" w:space="0" w:color="auto"/>
              <w:left w:val="nil"/>
              <w:bottom w:val="single" w:sz="4" w:space="0" w:color="auto"/>
              <w:right w:val="single" w:sz="4" w:space="0" w:color="000000"/>
            </w:tcBorders>
            <w:shd w:val="clear" w:color="auto" w:fill="auto"/>
            <w:vAlign w:val="center"/>
            <w:hideMark/>
          </w:tcPr>
          <w:p w14:paraId="49A4D4F3" w14:textId="77777777" w:rsidR="002D6D68" w:rsidRPr="003B22AF" w:rsidRDefault="002D6D68" w:rsidP="003B22AF">
            <w:pPr>
              <w:jc w:val="center"/>
              <w:rPr>
                <w:color w:val="000000"/>
              </w:rPr>
            </w:pPr>
            <w:r w:rsidRPr="003B22AF">
              <w:rPr>
                <w:color w:val="000000"/>
              </w:rPr>
              <w:t>Steerable/switched-multi</w:t>
            </w:r>
          </w:p>
        </w:tc>
      </w:tr>
      <w:tr w:rsidR="002D6D68" w:rsidRPr="00E43DD7" w14:paraId="7EE49382" w14:textId="77777777" w:rsidTr="003B22AF">
        <w:trPr>
          <w:trHeight w:val="423"/>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78B03314" w14:textId="77777777" w:rsidR="002D6D68" w:rsidRPr="003B22AF" w:rsidRDefault="002D6D68" w:rsidP="003B22AF">
            <w:pPr>
              <w:rPr>
                <w:color w:val="000000"/>
              </w:rPr>
            </w:pPr>
            <w:r w:rsidRPr="003B22AF">
              <w:rPr>
                <w:color w:val="000000"/>
              </w:rPr>
              <w:t>Transmit Antenna Gain (Front Lobe) (</w:t>
            </w:r>
            <w:proofErr w:type="spellStart"/>
            <w:r w:rsidRPr="003B22AF">
              <w:rPr>
                <w:color w:val="000000"/>
              </w:rPr>
              <w:t>dBi</w:t>
            </w:r>
            <w:proofErr w:type="spellEnd"/>
            <w:r w:rsidRPr="003B22AF">
              <w:rPr>
                <w:color w:val="000000"/>
              </w:rPr>
              <w:t>)</w:t>
            </w:r>
          </w:p>
        </w:tc>
        <w:tc>
          <w:tcPr>
            <w:tcW w:w="1486" w:type="dxa"/>
            <w:tcBorders>
              <w:top w:val="nil"/>
              <w:left w:val="nil"/>
              <w:bottom w:val="single" w:sz="4" w:space="0" w:color="auto"/>
              <w:right w:val="single" w:sz="4" w:space="0" w:color="auto"/>
            </w:tcBorders>
            <w:shd w:val="clear" w:color="auto" w:fill="auto"/>
            <w:vAlign w:val="center"/>
            <w:hideMark/>
          </w:tcPr>
          <w:p w14:paraId="1AA486D8" w14:textId="77777777" w:rsidR="002D6D68" w:rsidRPr="003B22AF" w:rsidRDefault="002D6D68" w:rsidP="003B22AF">
            <w:pPr>
              <w:jc w:val="center"/>
              <w:rPr>
                <w:color w:val="000000"/>
              </w:rPr>
            </w:pPr>
            <w:r w:rsidRPr="003B22AF">
              <w:rPr>
                <w:color w:val="000000"/>
              </w:rPr>
              <w:t>5</w:t>
            </w:r>
          </w:p>
        </w:tc>
        <w:tc>
          <w:tcPr>
            <w:tcW w:w="1423" w:type="dxa"/>
            <w:tcBorders>
              <w:top w:val="nil"/>
              <w:left w:val="nil"/>
              <w:bottom w:val="single" w:sz="4" w:space="0" w:color="auto"/>
              <w:right w:val="single" w:sz="4" w:space="0" w:color="auto"/>
            </w:tcBorders>
            <w:shd w:val="clear" w:color="auto" w:fill="auto"/>
            <w:vAlign w:val="center"/>
            <w:hideMark/>
          </w:tcPr>
          <w:p w14:paraId="34D5DA9F" w14:textId="77777777" w:rsidR="002D6D68" w:rsidRPr="003B22AF" w:rsidRDefault="002D6D68" w:rsidP="003B22AF">
            <w:pPr>
              <w:jc w:val="center"/>
              <w:rPr>
                <w:color w:val="000000"/>
              </w:rPr>
            </w:pPr>
            <w:r w:rsidRPr="003B22AF">
              <w:rPr>
                <w:color w:val="000000"/>
              </w:rPr>
              <w:t>5</w:t>
            </w:r>
          </w:p>
        </w:tc>
        <w:tc>
          <w:tcPr>
            <w:tcW w:w="1267" w:type="dxa"/>
            <w:tcBorders>
              <w:top w:val="nil"/>
              <w:left w:val="nil"/>
              <w:bottom w:val="single" w:sz="4" w:space="0" w:color="auto"/>
              <w:right w:val="single" w:sz="4" w:space="0" w:color="auto"/>
            </w:tcBorders>
            <w:shd w:val="clear" w:color="auto" w:fill="auto"/>
            <w:vAlign w:val="center"/>
            <w:hideMark/>
          </w:tcPr>
          <w:p w14:paraId="0B30CA8D" w14:textId="77777777" w:rsidR="002D6D68" w:rsidRPr="003B22AF" w:rsidRDefault="002D6D68" w:rsidP="003B22AF">
            <w:pPr>
              <w:jc w:val="center"/>
              <w:rPr>
                <w:color w:val="000000"/>
              </w:rPr>
            </w:pPr>
            <w:r w:rsidRPr="003B22AF">
              <w:rPr>
                <w:color w:val="000000"/>
              </w:rPr>
              <w:t>6</w:t>
            </w:r>
          </w:p>
        </w:tc>
        <w:tc>
          <w:tcPr>
            <w:tcW w:w="1204" w:type="dxa"/>
            <w:tcBorders>
              <w:top w:val="nil"/>
              <w:left w:val="nil"/>
              <w:bottom w:val="single" w:sz="4" w:space="0" w:color="auto"/>
              <w:right w:val="single" w:sz="4" w:space="0" w:color="auto"/>
            </w:tcBorders>
            <w:shd w:val="clear" w:color="auto" w:fill="auto"/>
            <w:vAlign w:val="center"/>
            <w:hideMark/>
          </w:tcPr>
          <w:p w14:paraId="69D72CF5" w14:textId="77777777" w:rsidR="002D6D68" w:rsidRPr="003B22AF" w:rsidRDefault="002D6D68" w:rsidP="003B22AF">
            <w:pPr>
              <w:jc w:val="center"/>
              <w:rPr>
                <w:color w:val="000000"/>
              </w:rPr>
            </w:pPr>
            <w:r w:rsidRPr="003B22AF">
              <w:rPr>
                <w:color w:val="000000"/>
              </w:rPr>
              <w:t>11</w:t>
            </w:r>
          </w:p>
        </w:tc>
      </w:tr>
      <w:tr w:rsidR="002D6D68" w:rsidRPr="00E43DD7" w14:paraId="5FA3EE74" w14:textId="77777777" w:rsidTr="003B22AF">
        <w:trPr>
          <w:trHeight w:val="462"/>
        </w:trPr>
        <w:tc>
          <w:tcPr>
            <w:tcW w:w="4098" w:type="dxa"/>
            <w:tcBorders>
              <w:top w:val="nil"/>
              <w:left w:val="single" w:sz="8" w:space="0" w:color="auto"/>
              <w:bottom w:val="single" w:sz="8" w:space="0" w:color="auto"/>
              <w:right w:val="single" w:sz="8" w:space="0" w:color="auto"/>
            </w:tcBorders>
            <w:shd w:val="clear" w:color="auto" w:fill="auto"/>
            <w:vAlign w:val="center"/>
            <w:hideMark/>
          </w:tcPr>
          <w:p w14:paraId="21FBE0A2" w14:textId="77777777" w:rsidR="002D6D68" w:rsidRPr="003B22AF" w:rsidRDefault="002D6D68" w:rsidP="003B22AF">
            <w:pPr>
              <w:rPr>
                <w:color w:val="000000"/>
              </w:rPr>
            </w:pPr>
            <w:r w:rsidRPr="003B22AF">
              <w:rPr>
                <w:color w:val="000000"/>
              </w:rPr>
              <w:t>Receive Antenna Gain/Noise Temperature (G/T)  (dB/k)</w:t>
            </w:r>
          </w:p>
        </w:tc>
        <w:tc>
          <w:tcPr>
            <w:tcW w:w="1486" w:type="dxa"/>
            <w:tcBorders>
              <w:top w:val="nil"/>
              <w:left w:val="nil"/>
              <w:bottom w:val="single" w:sz="4" w:space="0" w:color="auto"/>
              <w:right w:val="single" w:sz="4" w:space="0" w:color="auto"/>
            </w:tcBorders>
            <w:shd w:val="clear" w:color="auto" w:fill="auto"/>
            <w:vAlign w:val="center"/>
            <w:hideMark/>
          </w:tcPr>
          <w:p w14:paraId="56E56ACF" w14:textId="77777777" w:rsidR="002D6D68" w:rsidRPr="003B22AF" w:rsidRDefault="002D6D68" w:rsidP="003B22AF">
            <w:pPr>
              <w:jc w:val="center"/>
              <w:rPr>
                <w:color w:val="000000"/>
              </w:rPr>
            </w:pPr>
            <w:r w:rsidRPr="003B22AF">
              <w:rPr>
                <w:color w:val="000000"/>
              </w:rPr>
              <w:t>-30 dB/k to -24 dB/k</w:t>
            </w:r>
          </w:p>
        </w:tc>
        <w:tc>
          <w:tcPr>
            <w:tcW w:w="1423" w:type="dxa"/>
            <w:tcBorders>
              <w:top w:val="nil"/>
              <w:left w:val="nil"/>
              <w:bottom w:val="single" w:sz="4" w:space="0" w:color="auto"/>
              <w:right w:val="single" w:sz="4" w:space="0" w:color="auto"/>
            </w:tcBorders>
            <w:shd w:val="clear" w:color="auto" w:fill="auto"/>
            <w:vAlign w:val="center"/>
            <w:hideMark/>
          </w:tcPr>
          <w:p w14:paraId="3A3F7DBD" w14:textId="77777777" w:rsidR="002D6D68" w:rsidRPr="003B22AF" w:rsidRDefault="002D6D68" w:rsidP="003B22AF">
            <w:pPr>
              <w:jc w:val="center"/>
              <w:rPr>
                <w:color w:val="000000"/>
              </w:rPr>
            </w:pPr>
            <w:r w:rsidRPr="003B22AF">
              <w:rPr>
                <w:color w:val="000000"/>
              </w:rPr>
              <w:t>-20</w:t>
            </w:r>
          </w:p>
        </w:tc>
        <w:tc>
          <w:tcPr>
            <w:tcW w:w="1267" w:type="dxa"/>
            <w:tcBorders>
              <w:top w:val="nil"/>
              <w:left w:val="nil"/>
              <w:bottom w:val="single" w:sz="4" w:space="0" w:color="auto"/>
              <w:right w:val="single" w:sz="4" w:space="0" w:color="auto"/>
            </w:tcBorders>
            <w:shd w:val="clear" w:color="auto" w:fill="auto"/>
            <w:vAlign w:val="center"/>
            <w:hideMark/>
          </w:tcPr>
          <w:p w14:paraId="30C77CC6" w14:textId="77777777" w:rsidR="002D6D68" w:rsidRPr="003B22AF" w:rsidRDefault="002D6D68" w:rsidP="003B22AF">
            <w:pPr>
              <w:jc w:val="center"/>
              <w:rPr>
                <w:color w:val="000000"/>
              </w:rPr>
            </w:pPr>
            <w:r w:rsidRPr="003B22AF">
              <w:rPr>
                <w:color w:val="000000"/>
              </w:rPr>
              <w:t>-19</w:t>
            </w:r>
          </w:p>
        </w:tc>
        <w:tc>
          <w:tcPr>
            <w:tcW w:w="1204" w:type="dxa"/>
            <w:tcBorders>
              <w:top w:val="nil"/>
              <w:left w:val="nil"/>
              <w:bottom w:val="single" w:sz="4" w:space="0" w:color="auto"/>
              <w:right w:val="single" w:sz="4" w:space="0" w:color="auto"/>
            </w:tcBorders>
            <w:shd w:val="clear" w:color="auto" w:fill="auto"/>
            <w:vAlign w:val="center"/>
            <w:hideMark/>
          </w:tcPr>
          <w:p w14:paraId="700A8BD9" w14:textId="77777777" w:rsidR="002D6D68" w:rsidRPr="003B22AF" w:rsidRDefault="002D6D68" w:rsidP="003B22AF">
            <w:pPr>
              <w:jc w:val="center"/>
              <w:rPr>
                <w:color w:val="000000"/>
              </w:rPr>
            </w:pPr>
            <w:r w:rsidRPr="003B22AF">
              <w:rPr>
                <w:color w:val="000000"/>
              </w:rPr>
              <w:t>-13</w:t>
            </w:r>
          </w:p>
        </w:tc>
      </w:tr>
    </w:tbl>
    <w:p w14:paraId="76007865" w14:textId="77777777" w:rsidR="00C66E15" w:rsidRPr="00980DD5" w:rsidRDefault="00C66E15" w:rsidP="00C66E15">
      <w:pPr>
        <w:shd w:val="clear" w:color="auto" w:fill="FFFFFF"/>
        <w:textAlignment w:val="baseline"/>
        <w:rPr>
          <w:color w:val="000000"/>
        </w:rPr>
      </w:pPr>
    </w:p>
    <w:p w14:paraId="0B17B534" w14:textId="77777777" w:rsidR="00C66E15" w:rsidRPr="00980DD5" w:rsidRDefault="00C66E15" w:rsidP="00C66E15">
      <w:pPr>
        <w:shd w:val="clear" w:color="auto" w:fill="FFFFFF"/>
        <w:textAlignment w:val="baseline"/>
        <w:rPr>
          <w:b/>
          <w:bCs/>
          <w:color w:val="000000"/>
        </w:rPr>
      </w:pPr>
      <w:r w:rsidRPr="00980DD5">
        <w:rPr>
          <w:b/>
          <w:bCs/>
          <w:color w:val="000000"/>
        </w:rPr>
        <w:t>3.2 Non-GSO</w:t>
      </w:r>
    </w:p>
    <w:p w14:paraId="5553E421" w14:textId="77777777" w:rsidR="00E43DD7" w:rsidRDefault="00E43DD7" w:rsidP="00E43DD7">
      <w:pPr>
        <w:shd w:val="clear" w:color="auto" w:fill="FFFFFF"/>
        <w:textAlignment w:val="baseline"/>
        <w:rPr>
          <w:color w:val="000000"/>
        </w:rPr>
      </w:pPr>
    </w:p>
    <w:p w14:paraId="278F3EC5" w14:textId="77777777" w:rsidR="00C66E15" w:rsidRPr="00980DD5" w:rsidRDefault="00C66E15" w:rsidP="00C66E15">
      <w:pPr>
        <w:shd w:val="clear" w:color="auto" w:fill="FFFFFF"/>
        <w:textAlignment w:val="baseline"/>
        <w:rPr>
          <w:b/>
          <w:bCs/>
          <w:color w:val="000000"/>
          <w:bdr w:val="none" w:sz="0" w:space="0" w:color="auto" w:frame="1"/>
          <w:shd w:val="clear" w:color="auto" w:fill="FFFFFF"/>
        </w:rPr>
      </w:pPr>
      <w:r w:rsidRPr="00980DD5">
        <w:rPr>
          <w:b/>
          <w:bCs/>
          <w:color w:val="000000"/>
          <w:bdr w:val="none" w:sz="0" w:space="0" w:color="auto" w:frame="1"/>
        </w:rPr>
        <w:t>3.2.1 Non-GSO</w:t>
      </w:r>
      <w:r w:rsidRPr="00980DD5">
        <w:rPr>
          <w:rFonts w:hint="eastAsia"/>
          <w:b/>
          <w:bCs/>
          <w:color w:val="000000"/>
          <w:bdr w:val="none" w:sz="0" w:space="0" w:color="auto" w:frame="1"/>
        </w:rPr>
        <w:t> </w:t>
      </w:r>
      <w:r w:rsidRPr="00980DD5">
        <w:rPr>
          <w:b/>
          <w:bCs/>
          <w:color w:val="000000"/>
          <w:bdr w:val="none" w:sz="0" w:space="0" w:color="auto" w:frame="1"/>
          <w:shd w:val="clear" w:color="auto" w:fill="FFFFFF"/>
        </w:rPr>
        <w:t>MSS Service Provider Characteristics</w:t>
      </w:r>
    </w:p>
    <w:p w14:paraId="0FA6681B" w14:textId="77777777" w:rsidR="00E43DD7" w:rsidRDefault="00E43DD7" w:rsidP="00E43DD7">
      <w:pPr>
        <w:shd w:val="clear" w:color="auto" w:fill="FFFFFF"/>
        <w:textAlignment w:val="baseline"/>
        <w:rPr>
          <w:color w:val="000000"/>
        </w:rPr>
      </w:pPr>
    </w:p>
    <w:p w14:paraId="366CA8F8" w14:textId="0C7C5FC2" w:rsidR="002D6D68" w:rsidRPr="00E43DD7" w:rsidRDefault="002D6D68" w:rsidP="00980DD5">
      <w:pPr>
        <w:keepNext/>
        <w:keepLines/>
        <w:tabs>
          <w:tab w:val="left" w:pos="1080"/>
          <w:tab w:val="left" w:pos="1871"/>
          <w:tab w:val="left" w:pos="2268"/>
        </w:tabs>
        <w:overflowPunct w:val="0"/>
        <w:autoSpaceDE w:val="0"/>
        <w:autoSpaceDN w:val="0"/>
        <w:adjustRightInd w:val="0"/>
        <w:contextualSpacing/>
        <w:textAlignment w:val="baseline"/>
        <w:outlineLvl w:val="0"/>
        <w:rPr>
          <w:bCs/>
        </w:rPr>
      </w:pPr>
      <w:r>
        <w:rPr>
          <w:b/>
          <w:bCs/>
        </w:rPr>
        <w:t>MSS Cha</w:t>
      </w:r>
      <w:r w:rsidR="00384EF0">
        <w:rPr>
          <w:b/>
          <w:bCs/>
        </w:rPr>
        <w:t>ra</w:t>
      </w:r>
      <w:r>
        <w:rPr>
          <w:b/>
          <w:bCs/>
        </w:rPr>
        <w:t>cteristics and Protection Requirements in the Frequency Bands 1610</w:t>
      </w:r>
      <w:r w:rsidR="009E0BC6">
        <w:rPr>
          <w:b/>
          <w:bCs/>
        </w:rPr>
        <w:t>-</w:t>
      </w:r>
      <w:r>
        <w:rPr>
          <w:b/>
          <w:bCs/>
        </w:rPr>
        <w:t>1626.5 MHz and 2483.5-2500 MHz</w:t>
      </w:r>
    </w:p>
    <w:p w14:paraId="019AFC5A" w14:textId="77777777" w:rsidR="002D6D68" w:rsidRPr="00E43DD7" w:rsidRDefault="002D6D68" w:rsidP="002D6D68">
      <w:pPr>
        <w:rPr>
          <w:bCs/>
        </w:rPr>
      </w:pPr>
      <w:r>
        <w:rPr>
          <w:bCs/>
        </w:rPr>
        <w:t>[TBD]</w:t>
      </w:r>
    </w:p>
    <w:p w14:paraId="46F27D6E" w14:textId="77777777" w:rsidR="00C66E15" w:rsidRPr="00980DD5" w:rsidRDefault="00C66E15" w:rsidP="00C66E15">
      <w:pPr>
        <w:shd w:val="clear" w:color="auto" w:fill="FFFFFF"/>
        <w:textAlignment w:val="baseline"/>
        <w:rPr>
          <w:color w:val="000000"/>
        </w:rPr>
      </w:pPr>
    </w:p>
    <w:p w14:paraId="3D67CBDB" w14:textId="67E2DBE1" w:rsidR="00C66E15" w:rsidRPr="00980DD5" w:rsidRDefault="00C66E15" w:rsidP="00C66E15">
      <w:pPr>
        <w:shd w:val="clear" w:color="auto" w:fill="FFFFFF"/>
        <w:textAlignment w:val="baseline"/>
        <w:rPr>
          <w:b/>
          <w:bCs/>
          <w:color w:val="000000"/>
        </w:rPr>
      </w:pPr>
      <w:r w:rsidRPr="00980DD5">
        <w:rPr>
          <w:b/>
          <w:bCs/>
          <w:color w:val="000000"/>
        </w:rPr>
        <w:t>3.2.</w:t>
      </w:r>
      <w:r w:rsidR="00BD5912">
        <w:rPr>
          <w:b/>
          <w:bCs/>
          <w:color w:val="000000"/>
        </w:rPr>
        <w:t>2</w:t>
      </w:r>
      <w:r w:rsidRPr="00980DD5">
        <w:rPr>
          <w:b/>
          <w:bCs/>
          <w:color w:val="000000"/>
        </w:rPr>
        <w:t xml:space="preserve"> User Space Station Characteristics</w:t>
      </w:r>
      <w:r w:rsidR="002D6D68">
        <w:rPr>
          <w:b/>
          <w:bCs/>
          <w:color w:val="000000"/>
        </w:rPr>
        <w:t xml:space="preserve"> for Non-GSO MSS Service Providers</w:t>
      </w:r>
    </w:p>
    <w:p w14:paraId="6A688976" w14:textId="77777777" w:rsidR="00E43DD7" w:rsidRDefault="00E43DD7" w:rsidP="00E43DD7">
      <w:pPr>
        <w:shd w:val="clear" w:color="auto" w:fill="FFFFFF"/>
        <w:textAlignment w:val="baseline"/>
        <w:rPr>
          <w:color w:val="000000"/>
        </w:rPr>
      </w:pPr>
    </w:p>
    <w:p w14:paraId="59296171" w14:textId="4F4A2489" w:rsidR="00E43DD7" w:rsidRDefault="00E43DD7" w:rsidP="00E43DD7">
      <w:pPr>
        <w:shd w:val="clear" w:color="auto" w:fill="FFFFFF"/>
        <w:textAlignment w:val="baseline"/>
        <w:rPr>
          <w:color w:val="000000"/>
        </w:rPr>
      </w:pPr>
      <w:r>
        <w:rPr>
          <w:color w:val="000000"/>
        </w:rPr>
        <w:t>[TBD]</w:t>
      </w:r>
    </w:p>
    <w:p w14:paraId="0CCCEB66" w14:textId="77777777" w:rsidR="00C66E15" w:rsidRPr="00980DD5" w:rsidRDefault="00C66E15"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rPr>
      </w:pPr>
    </w:p>
    <w:p w14:paraId="03587E0A" w14:textId="324D734E" w:rsidR="00097512" w:rsidRPr="00E43DD7" w:rsidRDefault="00097512" w:rsidP="00097512">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Cs/>
          <w:lang w:val="en-GB"/>
        </w:rPr>
      </w:pPr>
    </w:p>
    <w:p w14:paraId="0F57F14E" w14:textId="77777777" w:rsidR="00097512" w:rsidRPr="00E43DD7" w:rsidRDefault="00097512" w:rsidP="0097627D">
      <w:pPr>
        <w:rPr>
          <w:bCs/>
        </w:rPr>
      </w:pPr>
    </w:p>
    <w:p w14:paraId="0C3C898B" w14:textId="09CF612B" w:rsidR="001D75F7" w:rsidRPr="00E43DD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lang w:val="en-GB"/>
        </w:rPr>
      </w:pPr>
      <w:r w:rsidRPr="00E43DD7">
        <w:rPr>
          <w:b/>
          <w:lang w:val="en-GB"/>
        </w:rPr>
        <w:lastRenderedPageBreak/>
        <w:t>4</w:t>
      </w:r>
      <w:r w:rsidRPr="00E43DD7">
        <w:rPr>
          <w:b/>
          <w:lang w:val="en-GB"/>
        </w:rPr>
        <w:tab/>
        <w:t xml:space="preserve"> </w:t>
      </w:r>
      <w:r w:rsidR="0003036E" w:rsidRPr="00E43DD7">
        <w:rPr>
          <w:b/>
          <w:lang w:val="en-GB"/>
        </w:rPr>
        <w:t xml:space="preserve">Current use of </w:t>
      </w:r>
      <w:r w:rsidRPr="00E43DD7">
        <w:rPr>
          <w:b/>
          <w:lang w:val="en-GB"/>
        </w:rPr>
        <w:t>space-to-space links in MSS allocations</w:t>
      </w:r>
    </w:p>
    <w:p w14:paraId="4EBF1733" w14:textId="77777777" w:rsidR="00395699" w:rsidRPr="00E43DD7" w:rsidRDefault="00395699" w:rsidP="00FD72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p>
    <w:p w14:paraId="09755EA9" w14:textId="6B3EB189" w:rsidR="001D75F7" w:rsidRPr="00E43DD7" w:rsidRDefault="001D75F7" w:rsidP="00206A21">
      <w:p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r w:rsidRPr="00E43DD7">
        <w:rPr>
          <w:lang w:val="en-GB"/>
        </w:rPr>
        <w:t xml:space="preserve">The current MSS allocations in 1 – 3 GHz do not include a space-to-space directional indicator. </w:t>
      </w:r>
      <w:proofErr w:type="gramStart"/>
      <w:r w:rsidRPr="00E43DD7">
        <w:rPr>
          <w:lang w:val="en-GB"/>
        </w:rPr>
        <w:t>As a consequence</w:t>
      </w:r>
      <w:proofErr w:type="gramEnd"/>
      <w:r w:rsidRPr="00E43DD7">
        <w:rPr>
          <w:lang w:val="en-GB"/>
        </w:rPr>
        <w:t xml:space="preserve">, such operations may be conducted only on a non-interference basis, relying on </w:t>
      </w:r>
      <w:r w:rsidRPr="00E43DD7">
        <w:rPr>
          <w:bCs/>
          <w:lang w:val="en-GB"/>
        </w:rPr>
        <w:t>No.</w:t>
      </w:r>
      <w:r w:rsidRPr="00E43DD7">
        <w:rPr>
          <w:b/>
          <w:lang w:val="en-GB"/>
        </w:rPr>
        <w:t> </w:t>
      </w:r>
      <w:r w:rsidRPr="00E43DD7">
        <w:rPr>
          <w:b/>
          <w:bCs/>
          <w:lang w:val="en-GB"/>
        </w:rPr>
        <w:t>4.4</w:t>
      </w:r>
      <w:r w:rsidRPr="00E43DD7">
        <w:rPr>
          <w:lang w:val="en-GB"/>
        </w:rPr>
        <w:t xml:space="preserve"> of the Radio Regulations. Given the interest in such space-to-space operations, reliance on </w:t>
      </w:r>
      <w:r w:rsidRPr="00E43DD7">
        <w:rPr>
          <w:bCs/>
          <w:lang w:val="en-GB"/>
        </w:rPr>
        <w:t>No.</w:t>
      </w:r>
      <w:r w:rsidRPr="00E43DD7">
        <w:rPr>
          <w:b/>
          <w:lang w:val="en-GB"/>
        </w:rPr>
        <w:t xml:space="preserve"> </w:t>
      </w:r>
      <w:r w:rsidRPr="00E43DD7">
        <w:rPr>
          <w:b/>
          <w:bCs/>
          <w:lang w:val="en-GB"/>
        </w:rPr>
        <w:t>4.4</w:t>
      </w:r>
      <w:r w:rsidRPr="00E43DD7">
        <w:rPr>
          <w:lang w:val="en-GB"/>
        </w:rPr>
        <w:t xml:space="preserve"> of the Radio Regulations </w:t>
      </w:r>
      <w:r w:rsidR="0051022E" w:rsidRPr="00E43DD7">
        <w:rPr>
          <w:lang w:val="en-GB"/>
        </w:rPr>
        <w:t xml:space="preserve">is an </w:t>
      </w:r>
      <w:r w:rsidRPr="00E43DD7">
        <w:rPr>
          <w:lang w:val="en-GB"/>
        </w:rPr>
        <w:t xml:space="preserve">unsound basis for continued development </w:t>
      </w:r>
      <w:proofErr w:type="gramStart"/>
      <w:r w:rsidRPr="00E43DD7">
        <w:rPr>
          <w:lang w:val="en-GB"/>
        </w:rPr>
        <w:t xml:space="preserve">of  </w:t>
      </w:r>
      <w:r w:rsidR="0051022E" w:rsidRPr="00E43DD7">
        <w:rPr>
          <w:lang w:val="en-GB"/>
        </w:rPr>
        <w:t>user</w:t>
      </w:r>
      <w:proofErr w:type="gramEnd"/>
      <w:r w:rsidR="0051022E" w:rsidRPr="00E43DD7">
        <w:rPr>
          <w:lang w:val="en-GB"/>
        </w:rPr>
        <w:t xml:space="preserve"> space station </w:t>
      </w:r>
      <w:r w:rsidRPr="00E43DD7">
        <w:rPr>
          <w:lang w:val="en-GB"/>
        </w:rPr>
        <w:t xml:space="preserve">systems seeking to </w:t>
      </w:r>
      <w:r w:rsidR="0051022E" w:rsidRPr="00E43DD7">
        <w:rPr>
          <w:lang w:val="en-GB"/>
        </w:rPr>
        <w:t xml:space="preserve">operate with </w:t>
      </w:r>
      <w:r w:rsidR="0051022E" w:rsidRPr="00E43DD7">
        <w:t>MSS service provider space station netw</w:t>
      </w:r>
      <w:r w:rsidR="0003036E" w:rsidRPr="00E43DD7">
        <w:t>o</w:t>
      </w:r>
      <w:r w:rsidR="0051022E" w:rsidRPr="00E43DD7">
        <w:t>rks and systems.</w:t>
      </w:r>
      <w:r w:rsidRPr="00E43DD7">
        <w:rPr>
          <w:lang w:val="en-GB"/>
        </w:rPr>
        <w:t xml:space="preserve">. </w:t>
      </w:r>
      <w:r w:rsidR="00FD7210" w:rsidRPr="00E43DD7">
        <w:rPr>
          <w:lang w:val="en-GB"/>
        </w:rPr>
        <w:t>Consequently, f</w:t>
      </w:r>
      <w:r w:rsidRPr="00E43DD7">
        <w:rPr>
          <w:lang w:val="en-GB"/>
        </w:rPr>
        <w:t>urther actions</w:t>
      </w:r>
      <w:r w:rsidR="00FD7210" w:rsidRPr="00E43DD7">
        <w:rPr>
          <w:lang w:val="en-GB"/>
        </w:rPr>
        <w:t xml:space="preserve"> are</w:t>
      </w:r>
      <w:r w:rsidRPr="00E43DD7">
        <w:rPr>
          <w:lang w:val="en-GB"/>
        </w:rPr>
        <w:t xml:space="preserve"> needed to develop </w:t>
      </w:r>
      <w:r w:rsidR="00FD7210" w:rsidRPr="00E43DD7">
        <w:rPr>
          <w:rFonts w:eastAsiaTheme="minorHAnsi"/>
          <w:color w:val="000000"/>
        </w:rPr>
        <w:t>technical conditions and regulatory provisions for the operation of</w:t>
      </w:r>
      <w:r w:rsidR="00930DA9" w:rsidRPr="00E43DD7">
        <w:rPr>
          <w:rFonts w:eastAsiaTheme="minorHAnsi"/>
          <w:color w:val="000000"/>
        </w:rPr>
        <w:t xml:space="preserve"> </w:t>
      </w:r>
      <w:r w:rsidR="00FD7210" w:rsidRPr="00E43DD7">
        <w:rPr>
          <w:rFonts w:eastAsiaTheme="minorHAnsi"/>
          <w:color w:val="000000"/>
        </w:rPr>
        <w:t>space-to-space links in these frequency bands, including MSS (space-to-space) allocations</w:t>
      </w:r>
      <w:r w:rsidR="00A27113" w:rsidRPr="00E43DD7">
        <w:rPr>
          <w:rFonts w:eastAsiaTheme="minorHAnsi"/>
          <w:color w:val="000000"/>
        </w:rPr>
        <w:t>,</w:t>
      </w:r>
      <w:r w:rsidR="00FD7210" w:rsidRPr="00E43DD7">
        <w:rPr>
          <w:rFonts w:eastAsiaTheme="minorHAnsi"/>
          <w:color w:val="000000"/>
        </w:rPr>
        <w:t xml:space="preserve"> or the</w:t>
      </w:r>
      <w:r w:rsidR="00930DA9" w:rsidRPr="00E43DD7">
        <w:rPr>
          <w:rFonts w:eastAsiaTheme="minorHAnsi"/>
          <w:color w:val="000000"/>
        </w:rPr>
        <w:t xml:space="preserve"> </w:t>
      </w:r>
      <w:r w:rsidR="00FD7210" w:rsidRPr="00E43DD7">
        <w:rPr>
          <w:rFonts w:eastAsiaTheme="minorHAnsi"/>
          <w:color w:val="000000"/>
        </w:rPr>
        <w:t>addition of inter-satellite service (ISS) allocations, in all or parts of the frequency bands identified</w:t>
      </w:r>
      <w:r w:rsidR="00FD7210" w:rsidRPr="00E43DD7" w:rsidDel="00FD7210">
        <w:rPr>
          <w:lang w:val="en-GB"/>
        </w:rPr>
        <w:t xml:space="preserve"> </w:t>
      </w:r>
      <w:r w:rsidR="00FD7210" w:rsidRPr="00E43DD7">
        <w:rPr>
          <w:lang w:val="en-GB"/>
        </w:rPr>
        <w:t xml:space="preserve">in </w:t>
      </w:r>
      <w:r w:rsidR="00FD7210" w:rsidRPr="00E43DD7">
        <w:t xml:space="preserve">Resolution </w:t>
      </w:r>
      <w:r w:rsidR="00FD7210" w:rsidRPr="00E43DD7">
        <w:rPr>
          <w:b/>
          <w:bCs/>
        </w:rPr>
        <w:t>249 (Rev.WRC-23</w:t>
      </w:r>
      <w:r w:rsidR="0003036E" w:rsidRPr="00E43DD7">
        <w:rPr>
          <w:b/>
          <w:bCs/>
        </w:rPr>
        <w:t>)</w:t>
      </w:r>
      <w:r w:rsidR="00FD7210" w:rsidRPr="00E43DD7">
        <w:rPr>
          <w:b/>
          <w:bCs/>
        </w:rPr>
        <w:t>.</w:t>
      </w:r>
    </w:p>
    <w:p w14:paraId="11CB0478" w14:textId="77777777" w:rsidR="00930DA9" w:rsidRPr="00E43DD7" w:rsidRDefault="00930DA9" w:rsidP="00873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p>
    <w:p w14:paraId="364676A9" w14:textId="47BD31A4" w:rsidR="008737D8" w:rsidRPr="00E43DD7" w:rsidRDefault="008737D8" w:rsidP="00873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43DD7">
        <w:rPr>
          <w:lang w:val="en-GB"/>
        </w:rPr>
        <w:t xml:space="preserve">However, </w:t>
      </w:r>
      <w:r w:rsidRPr="00E43DD7">
        <w:t xml:space="preserve">No. </w:t>
      </w:r>
      <w:r w:rsidRPr="00E43DD7">
        <w:rPr>
          <w:b/>
          <w:bCs/>
        </w:rPr>
        <w:t>1.25</w:t>
      </w:r>
      <w:r w:rsidRPr="00E43DD7">
        <w:t xml:space="preserve"> explicitly acknowledges the inclusion of space-to-space communications within the mobile-satellite service (MSS), stating that the service may involve communication “between space stations used by this service.” This provision indicates that space-to-space links, when operated within an MSS allocation, are permissible under the current regulatory structure, potentially without the need for additional allocations or specific regulatory provisions for space-to-space operations</w:t>
      </w:r>
      <w:r w:rsidR="00342711" w:rsidRPr="00E43DD7">
        <w:t xml:space="preserve"> beyond the addition of a space-to-space direction indicator</w:t>
      </w:r>
      <w:r w:rsidRPr="00E43DD7">
        <w:t xml:space="preserve">. </w:t>
      </w:r>
    </w:p>
    <w:p w14:paraId="43B9D4D2" w14:textId="77777777" w:rsidR="008737D8" w:rsidRPr="00E43DD7" w:rsidRDefault="008737D8" w:rsidP="00873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DF08646" w14:textId="4401F70A" w:rsidR="008737D8" w:rsidRPr="00E43DD7" w:rsidRDefault="00342711" w:rsidP="00873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43DD7">
        <w:t>T</w:t>
      </w:r>
      <w:r w:rsidR="008737D8" w:rsidRPr="00E43DD7">
        <w:t xml:space="preserve">he absence of a transmission direction indicator in </w:t>
      </w:r>
      <w:r w:rsidRPr="00E43DD7">
        <w:t>the Table of Allocations</w:t>
      </w:r>
      <w:r w:rsidR="008737D8" w:rsidRPr="00E43DD7">
        <w:t xml:space="preserve"> raises concerns about the operation of space-to-space links in MSS allocations, particularly in the context of maintaining compatibility with the established Earth-to-space and space-to-Earth transmission directions defined in the ITU Radio Regulations. The unique situation in the frequency band 1613.8-1626.5 MHz, which accommodates both uplink and downlink directions, underscores the need for clarity in regulatory provisions regarding the directionality of space-to-space transmissions. </w:t>
      </w:r>
    </w:p>
    <w:p w14:paraId="2BE99475" w14:textId="77777777" w:rsidR="008737D8" w:rsidRPr="00E43DD7" w:rsidRDefault="008737D8" w:rsidP="00873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301FB3D" w14:textId="2CC9E905" w:rsidR="008737D8" w:rsidRPr="00E43DD7" w:rsidRDefault="008737D8" w:rsidP="00B22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43DD7">
        <w:t xml:space="preserve">While RR No. </w:t>
      </w:r>
      <w:r w:rsidRPr="00E43DD7">
        <w:rPr>
          <w:b/>
          <w:bCs/>
        </w:rPr>
        <w:t>1.25</w:t>
      </w:r>
      <w:r w:rsidRPr="00E43DD7">
        <w:t xml:space="preserve"> provides a foundational basis for the development and operation of space-to-space links within MSS allocations, the practical implementation of such links </w:t>
      </w:r>
      <w:r w:rsidR="00B22793" w:rsidRPr="00E43DD7">
        <w:t xml:space="preserve">may necessitate </w:t>
      </w:r>
      <w:r w:rsidRPr="00E43DD7">
        <w:t>the amendment of the ITU Radio Regulations at WRC</w:t>
      </w:r>
      <w:r w:rsidR="00B22793" w:rsidRPr="00E43DD7">
        <w:t>-27</w:t>
      </w:r>
      <w:r w:rsidRPr="00E43DD7">
        <w:t>.</w:t>
      </w:r>
    </w:p>
    <w:p w14:paraId="3B9E3CEB" w14:textId="5E105070" w:rsidR="008737D8" w:rsidRPr="00E43DD7" w:rsidRDefault="008737D8" w:rsidP="001D75F7">
      <w:pPr>
        <w:tabs>
          <w:tab w:val="left" w:pos="1134"/>
          <w:tab w:val="left" w:pos="1871"/>
          <w:tab w:val="left" w:pos="2268"/>
        </w:tabs>
        <w:overflowPunct w:val="0"/>
        <w:autoSpaceDE w:val="0"/>
        <w:autoSpaceDN w:val="0"/>
        <w:adjustRightInd w:val="0"/>
        <w:spacing w:before="120"/>
        <w:textAlignment w:val="baseline"/>
      </w:pPr>
    </w:p>
    <w:p w14:paraId="2BE945C7" w14:textId="58FD3D75" w:rsidR="004A7EAD" w:rsidRPr="00980DD5" w:rsidRDefault="009C21C0" w:rsidP="004A7EAD">
      <w:pPr>
        <w:pStyle w:val="Heading3"/>
        <w:rPr>
          <w:rFonts w:ascii="Times New Roman" w:eastAsia="SimSun" w:hAnsi="Times New Roman" w:cs="Times New Roman"/>
          <w:b/>
          <w:bCs/>
          <w:color w:val="auto"/>
        </w:rPr>
      </w:pPr>
      <w:r w:rsidRPr="00980DD5">
        <w:rPr>
          <w:rFonts w:ascii="Times New Roman" w:eastAsia="SimSun" w:hAnsi="Times New Roman" w:cs="Times New Roman"/>
          <w:b/>
          <w:bCs/>
          <w:color w:val="auto"/>
        </w:rPr>
        <w:t>5</w:t>
      </w:r>
      <w:r w:rsidR="004A7EAD" w:rsidRPr="00980DD5">
        <w:rPr>
          <w:rFonts w:ascii="Times New Roman" w:eastAsia="SimSun" w:hAnsi="Times New Roman" w:cs="Times New Roman"/>
          <w:b/>
          <w:bCs/>
          <w:color w:val="auto"/>
          <w:lang w:eastAsia="zh-CN"/>
        </w:rPr>
        <w:tab/>
      </w:r>
      <w:r w:rsidR="00570C2A" w:rsidRPr="00980DD5">
        <w:rPr>
          <w:rFonts w:ascii="Times New Roman" w:eastAsia="SimSun" w:hAnsi="Times New Roman" w:cs="Times New Roman"/>
          <w:b/>
          <w:bCs/>
          <w:color w:val="auto"/>
        </w:rPr>
        <w:t>Incumbent Services Parameters for Study</w:t>
      </w:r>
    </w:p>
    <w:p w14:paraId="0471DF84" w14:textId="77777777" w:rsidR="00EF317B" w:rsidRPr="00E43DD7" w:rsidRDefault="00EF317B" w:rsidP="00EF317B">
      <w:pPr>
        <w:rPr>
          <w:rFonts w:eastAsia="SimSun"/>
        </w:rPr>
      </w:pPr>
    </w:p>
    <w:p w14:paraId="48652F15" w14:textId="00B219F4" w:rsidR="00570C2A" w:rsidRPr="00E43DD7" w:rsidRDefault="00570C2A" w:rsidP="00EF317B">
      <w:pPr>
        <w:rPr>
          <w:rFonts w:eastAsia="SimSun"/>
        </w:rPr>
      </w:pPr>
      <w:r w:rsidRPr="00E43DD7">
        <w:rPr>
          <w:rFonts w:eastAsia="SimSun"/>
        </w:rPr>
        <w:t>[TBD after receipt of liaison statements]</w:t>
      </w:r>
    </w:p>
    <w:p w14:paraId="21C83A90" w14:textId="77777777" w:rsidR="00570C2A" w:rsidRPr="00E43DD7" w:rsidRDefault="00570C2A" w:rsidP="00EF317B">
      <w:pPr>
        <w:rPr>
          <w:rFonts w:eastAsia="SimSun"/>
        </w:rPr>
      </w:pPr>
    </w:p>
    <w:p w14:paraId="5BB61EB7" w14:textId="77777777" w:rsidR="004A7EAD" w:rsidRPr="00E43DD7" w:rsidRDefault="004A7EAD" w:rsidP="004A7EAD">
      <w:pPr>
        <w:rPr>
          <w:rStyle w:val="Strong"/>
          <w:rFonts w:ascii="Times New Roman" w:hAnsi="Times New Roman"/>
          <w:b w:val="0"/>
          <w:bCs w:val="0"/>
        </w:rPr>
      </w:pPr>
    </w:p>
    <w:p w14:paraId="50726F93" w14:textId="0362170C" w:rsidR="001D75F7" w:rsidRPr="00E43DD7" w:rsidRDefault="003E17AA"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lang w:val="en-GB"/>
        </w:rPr>
      </w:pPr>
      <w:r w:rsidRPr="00E43DD7">
        <w:rPr>
          <w:b/>
          <w:lang w:val="en-GB"/>
        </w:rPr>
        <w:t>6</w:t>
      </w:r>
      <w:r w:rsidR="001D75F7" w:rsidRPr="00E43DD7">
        <w:rPr>
          <w:b/>
          <w:lang w:val="en-GB"/>
        </w:rPr>
        <w:tab/>
      </w:r>
      <w:r w:rsidR="008D5E88" w:rsidRPr="00E43DD7">
        <w:rPr>
          <w:b/>
          <w:lang w:val="en-GB"/>
        </w:rPr>
        <w:t xml:space="preserve">Space-to-Space Link </w:t>
      </w:r>
      <w:r w:rsidR="001D75F7" w:rsidRPr="00E43DD7">
        <w:rPr>
          <w:b/>
          <w:lang w:val="en-GB"/>
        </w:rPr>
        <w:t>Compatibility with other services</w:t>
      </w:r>
    </w:p>
    <w:p w14:paraId="3DA692BF" w14:textId="651AE5D9" w:rsidR="001D75F7" w:rsidRPr="00E43DD7" w:rsidRDefault="003E17AA"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lang w:val="en-GB"/>
        </w:rPr>
      </w:pPr>
      <w:r w:rsidRPr="00E43DD7">
        <w:rPr>
          <w:b/>
          <w:lang w:val="en-GB"/>
        </w:rPr>
        <w:t>6.1</w:t>
      </w:r>
      <w:r w:rsidR="001D75F7" w:rsidRPr="00E43DD7">
        <w:rPr>
          <w:b/>
          <w:lang w:val="en-GB"/>
        </w:rPr>
        <w:tab/>
        <w:t>Space-to-space links in the bands 1 518-1 559 MHz, 1 626.5-1 660.5 and 1 668</w:t>
      </w:r>
      <w:r w:rsidR="001D75F7" w:rsidRPr="00E43DD7">
        <w:rPr>
          <w:b/>
          <w:lang w:val="en-GB"/>
        </w:rPr>
        <w:noBreakHyphen/>
        <w:t>1 675 MHz</w:t>
      </w:r>
    </w:p>
    <w:p w14:paraId="3F38FB56" w14:textId="77777777" w:rsidR="00C4629F" w:rsidRPr="00E43DD7" w:rsidRDefault="00C4629F" w:rsidP="00C4629F">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Cs/>
          <w:lang w:val="en-GB"/>
        </w:rPr>
      </w:pPr>
      <w:r w:rsidRPr="00E43DD7">
        <w:rPr>
          <w:bCs/>
          <w:lang w:val="en-GB"/>
        </w:rPr>
        <w:t>[TBD]</w:t>
      </w:r>
    </w:p>
    <w:p w14:paraId="740ACE90" w14:textId="2850E94B" w:rsidR="00570C2A" w:rsidRPr="00E43DD7" w:rsidRDefault="00570C2A" w:rsidP="001D75F7">
      <w:pPr>
        <w:tabs>
          <w:tab w:val="left" w:pos="1134"/>
          <w:tab w:val="left" w:pos="1871"/>
          <w:tab w:val="left" w:pos="2268"/>
        </w:tabs>
        <w:overflowPunct w:val="0"/>
        <w:autoSpaceDE w:val="0"/>
        <w:autoSpaceDN w:val="0"/>
        <w:adjustRightInd w:val="0"/>
        <w:spacing w:before="120"/>
        <w:textAlignment w:val="baseline"/>
        <w:rPr>
          <w:lang w:val="en-GB"/>
        </w:rPr>
      </w:pPr>
    </w:p>
    <w:p w14:paraId="69BC460F" w14:textId="32F78271" w:rsidR="00C4629F" w:rsidRPr="00E43DD7" w:rsidRDefault="00C4629F" w:rsidP="00C4629F">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lang w:val="en-GB"/>
        </w:rPr>
      </w:pPr>
      <w:r w:rsidRPr="00E43DD7">
        <w:rPr>
          <w:b/>
          <w:lang w:val="en-GB"/>
        </w:rPr>
        <w:lastRenderedPageBreak/>
        <w:t>6.2</w:t>
      </w:r>
      <w:r w:rsidRPr="00E43DD7">
        <w:rPr>
          <w:b/>
          <w:lang w:val="en-GB"/>
        </w:rPr>
        <w:tab/>
        <w:t>Space-to-space links in the bands 1 610-1 626.5 MHz and 2 483.5-2 500 MHz</w:t>
      </w:r>
    </w:p>
    <w:p w14:paraId="14B08D4A" w14:textId="2344ACD4" w:rsidR="00C4629F" w:rsidRPr="00E43DD7" w:rsidRDefault="00C4629F" w:rsidP="00C4629F">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Cs/>
          <w:lang w:val="en-GB"/>
        </w:rPr>
      </w:pPr>
      <w:r w:rsidRPr="00E43DD7">
        <w:rPr>
          <w:bCs/>
          <w:lang w:val="en-GB"/>
        </w:rPr>
        <w:t>[TBD]</w:t>
      </w:r>
    </w:p>
    <w:p w14:paraId="48C3C505" w14:textId="77777777" w:rsidR="00570C2A" w:rsidRPr="00E43DD7" w:rsidRDefault="00570C2A" w:rsidP="001D75F7">
      <w:pPr>
        <w:tabs>
          <w:tab w:val="left" w:pos="1134"/>
          <w:tab w:val="left" w:pos="1871"/>
          <w:tab w:val="left" w:pos="2268"/>
        </w:tabs>
        <w:overflowPunct w:val="0"/>
        <w:autoSpaceDE w:val="0"/>
        <w:autoSpaceDN w:val="0"/>
        <w:adjustRightInd w:val="0"/>
        <w:spacing w:before="120"/>
        <w:textAlignment w:val="baseline"/>
        <w:rPr>
          <w:lang w:val="en-GB"/>
        </w:rPr>
      </w:pPr>
    </w:p>
    <w:p w14:paraId="187C85F8" w14:textId="4312A90E" w:rsidR="001D75F7" w:rsidRPr="00E43DD7" w:rsidRDefault="00570C2A"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lang w:val="en-GB"/>
        </w:rPr>
      </w:pPr>
      <w:r w:rsidRPr="00E43DD7">
        <w:rPr>
          <w:b/>
          <w:lang w:val="en-GB"/>
        </w:rPr>
        <w:t>7</w:t>
      </w:r>
      <w:r w:rsidR="001D75F7" w:rsidRPr="00E43DD7">
        <w:rPr>
          <w:b/>
          <w:lang w:val="en-GB"/>
        </w:rPr>
        <w:tab/>
        <w:t>Summary</w:t>
      </w:r>
    </w:p>
    <w:p w14:paraId="2A6742D4" w14:textId="60786781" w:rsidR="008D5E88" w:rsidRPr="00E43DD7" w:rsidRDefault="008D5E88" w:rsidP="008D5E88">
      <w:pPr>
        <w:keepLines/>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[TBD]</w:t>
      </w:r>
    </w:p>
    <w:p w14:paraId="3AEFA679" w14:textId="36DAC045" w:rsidR="001D75F7" w:rsidRPr="00E43DD7" w:rsidRDefault="001D75F7" w:rsidP="0097627D">
      <w:pPr>
        <w:keepLines/>
        <w:tabs>
          <w:tab w:val="left" w:pos="1134"/>
          <w:tab w:val="left" w:pos="1871"/>
          <w:tab w:val="left" w:pos="2268"/>
        </w:tabs>
        <w:overflowPunct w:val="0"/>
        <w:autoSpaceDE w:val="0"/>
        <w:autoSpaceDN w:val="0"/>
        <w:adjustRightInd w:val="0"/>
        <w:spacing w:before="120"/>
        <w:textAlignment w:val="baseline"/>
        <w:rPr>
          <w:lang w:val="en-GB"/>
        </w:rPr>
      </w:pPr>
    </w:p>
    <w:p w14:paraId="16D2453A" w14:textId="77777777" w:rsidR="001D75F7" w:rsidRPr="00E43DD7" w:rsidRDefault="001D75F7" w:rsidP="001D75F7">
      <w:pPr>
        <w:tabs>
          <w:tab w:val="left" w:pos="1134"/>
          <w:tab w:val="left" w:pos="1871"/>
          <w:tab w:val="left" w:pos="2268"/>
        </w:tabs>
        <w:overflowPunct w:val="0"/>
        <w:autoSpaceDE w:val="0"/>
        <w:autoSpaceDN w:val="0"/>
        <w:adjustRightInd w:val="0"/>
        <w:spacing w:before="120"/>
        <w:textAlignment w:val="baseline"/>
        <w:rPr>
          <w:lang w:val="en-GB"/>
        </w:rPr>
      </w:pPr>
    </w:p>
    <w:p w14:paraId="1BB690AC" w14:textId="77777777" w:rsidR="001D75F7" w:rsidRPr="00E43DD7" w:rsidRDefault="001D75F7" w:rsidP="001D75F7">
      <w:pPr>
        <w:tabs>
          <w:tab w:val="left" w:pos="1134"/>
          <w:tab w:val="left" w:pos="1588"/>
          <w:tab w:val="left" w:pos="1985"/>
        </w:tabs>
        <w:overflowPunct w:val="0"/>
        <w:autoSpaceDE w:val="0"/>
        <w:autoSpaceDN w:val="0"/>
        <w:adjustRightInd w:val="0"/>
        <w:spacing w:before="120"/>
        <w:textAlignment w:val="baseline"/>
        <w:rPr>
          <w:lang w:val="en-GB"/>
        </w:rPr>
      </w:pPr>
    </w:p>
    <w:p w14:paraId="45D8DEB7" w14:textId="77777777" w:rsidR="001D75F7" w:rsidRPr="00E43DD7" w:rsidRDefault="001D75F7" w:rsidP="001D75F7">
      <w:pPr>
        <w:tabs>
          <w:tab w:val="left" w:pos="1134"/>
          <w:tab w:val="left" w:pos="1871"/>
          <w:tab w:val="left" w:pos="2268"/>
        </w:tabs>
        <w:overflowPunct w:val="0"/>
        <w:autoSpaceDE w:val="0"/>
        <w:autoSpaceDN w:val="0"/>
        <w:adjustRightInd w:val="0"/>
        <w:spacing w:before="120"/>
        <w:jc w:val="center"/>
        <w:textAlignment w:val="baseline"/>
        <w:rPr>
          <w:lang w:val="en-GB"/>
        </w:rPr>
      </w:pPr>
      <w:r w:rsidRPr="00E43DD7">
        <w:rPr>
          <w:lang w:val="en-GB"/>
        </w:rPr>
        <w:t>______________</w:t>
      </w:r>
    </w:p>
    <w:p w14:paraId="1CF4BCFA" w14:textId="77777777" w:rsidR="001D75F7" w:rsidRPr="00E43DD7" w:rsidRDefault="001D75F7" w:rsidP="001D75F7"/>
    <w:p w14:paraId="696FA60E" w14:textId="3264355D" w:rsidR="001A7EB5" w:rsidRDefault="001A7EB5">
      <w:pPr>
        <w:spacing w:after="160" w:line="259" w:lineRule="auto"/>
      </w:pPr>
      <w:r>
        <w:br w:type="page"/>
      </w:r>
    </w:p>
    <w:p w14:paraId="496010D8" w14:textId="44D487A4" w:rsidR="00731F24" w:rsidRDefault="001A7EB5" w:rsidP="007E1368">
      <w:pPr>
        <w:jc w:val="center"/>
      </w:pPr>
      <w:r>
        <w:lastRenderedPageBreak/>
        <w:t xml:space="preserve">ANNEX </w:t>
      </w:r>
      <w:r w:rsidR="002F2797">
        <w:t>A</w:t>
      </w:r>
    </w:p>
    <w:p w14:paraId="67E31447" w14:textId="7071D990" w:rsidR="002D6D68" w:rsidRDefault="002D6D68" w:rsidP="007E1368">
      <w:pPr>
        <w:jc w:val="center"/>
      </w:pPr>
      <w:r>
        <w:t>SYSTEM DESCRIPTIONS</w:t>
      </w:r>
    </w:p>
    <w:p w14:paraId="7C8FE24F" w14:textId="77777777" w:rsidR="00416224" w:rsidRDefault="00416224" w:rsidP="00416224">
      <w:pPr>
        <w:jc w:val="center"/>
      </w:pPr>
    </w:p>
    <w:p w14:paraId="142CBA40" w14:textId="77777777" w:rsidR="00416224" w:rsidRDefault="00416224" w:rsidP="00416224">
      <w:pPr>
        <w:jc w:val="center"/>
      </w:pPr>
    </w:p>
    <w:p w14:paraId="140F3598" w14:textId="77777777" w:rsidR="001A7EB5" w:rsidRDefault="001A7EB5" w:rsidP="001A7EB5"/>
    <w:p w14:paraId="78964AB2" w14:textId="4017147B" w:rsidR="002F2797" w:rsidRPr="00E43DD7" w:rsidRDefault="002F2797" w:rsidP="002F279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lang w:val="en-GB"/>
        </w:rPr>
      </w:pPr>
      <w:r>
        <w:rPr>
          <w:b/>
          <w:lang w:val="en-GB"/>
        </w:rPr>
        <w:t>A.</w:t>
      </w:r>
      <w:r w:rsidR="00911804">
        <w:rPr>
          <w:b/>
          <w:lang w:val="en-GB"/>
        </w:rPr>
        <w:t>1</w:t>
      </w:r>
      <w:r w:rsidR="001A7EB5" w:rsidRPr="00E43DD7">
        <w:rPr>
          <w:b/>
          <w:lang w:val="en-GB"/>
        </w:rPr>
        <w:tab/>
        <w:t xml:space="preserve">Space-to-space links between LEO </w:t>
      </w:r>
      <w:r>
        <w:rPr>
          <w:b/>
          <w:lang w:val="en-GB"/>
        </w:rPr>
        <w:t xml:space="preserve">user </w:t>
      </w:r>
      <w:r w:rsidR="001A7EB5" w:rsidRPr="00E43DD7">
        <w:rPr>
          <w:b/>
          <w:lang w:val="en-GB"/>
        </w:rPr>
        <w:t xml:space="preserve">satellites and GSO MSS </w:t>
      </w:r>
      <w:r>
        <w:rPr>
          <w:b/>
          <w:lang w:val="en-GB"/>
        </w:rPr>
        <w:t xml:space="preserve">service provider </w:t>
      </w:r>
      <w:r w:rsidR="001A7EB5" w:rsidRPr="00E43DD7">
        <w:rPr>
          <w:b/>
          <w:lang w:val="en-GB"/>
        </w:rPr>
        <w:t>network satellites</w:t>
      </w:r>
    </w:p>
    <w:p w14:paraId="6EB4DF60" w14:textId="77777777" w:rsidR="001A7EB5" w:rsidRPr="00E43DD7" w:rsidRDefault="001A7EB5" w:rsidP="001A7EB5">
      <w:pPr>
        <w:tabs>
          <w:tab w:val="left" w:pos="1134"/>
          <w:tab w:val="left" w:pos="1871"/>
          <w:tab w:val="left" w:pos="2268"/>
        </w:tabs>
        <w:overflowPunct w:val="0"/>
        <w:autoSpaceDE w:val="0"/>
        <w:autoSpaceDN w:val="0"/>
        <w:adjustRightInd w:val="0"/>
        <w:spacing w:before="120"/>
        <w:textAlignment w:val="baseline"/>
        <w:rPr>
          <w:spacing w:val="-4"/>
          <w:lang w:val="en-GB"/>
        </w:rPr>
      </w:pPr>
      <w:r w:rsidRPr="00E43DD7">
        <w:rPr>
          <w:spacing w:val="-4"/>
          <w:lang w:val="en-GB"/>
        </w:rPr>
        <w:t>GSO MSS systems operate in the frequency bands 1 518-1 559 MHz (space-to-Earth) and 1 626.5</w:t>
      </w:r>
      <w:r w:rsidRPr="00E43DD7">
        <w:rPr>
          <w:spacing w:val="-4"/>
          <w:lang w:val="en-GB"/>
        </w:rPr>
        <w:noBreakHyphen/>
        <w:t>1 660.5 MHz and 1 668-1 675 MHz (Earth-to-space). These bands are used for the service links to terminals on ships and aircraft and land portable terminals. The feeder links, connecting the GSO satellite with the ground network operate in other frequency bands, for example, C-band and Ku-band FSS bands. The service links at 1.5/1.6 GHz typically make use of multiple spot beams formed by the spacecraft antenna. An example of spot beam coverage from 3 GSO satellites is shown in Figure 1.</w:t>
      </w:r>
    </w:p>
    <w:p w14:paraId="2BEA4EA0" w14:textId="77777777" w:rsidR="001A7EB5" w:rsidRPr="00E43DD7" w:rsidRDefault="001A7EB5" w:rsidP="001A7EB5">
      <w:pPr>
        <w:tabs>
          <w:tab w:val="left" w:pos="1134"/>
          <w:tab w:val="left" w:pos="1871"/>
          <w:tab w:val="left" w:pos="2268"/>
        </w:tabs>
        <w:overflowPunct w:val="0"/>
        <w:autoSpaceDE w:val="0"/>
        <w:autoSpaceDN w:val="0"/>
        <w:adjustRightInd w:val="0"/>
        <w:spacing w:before="400" w:after="120"/>
        <w:jc w:val="center"/>
        <w:textAlignment w:val="baseline"/>
        <w:rPr>
          <w:caps/>
          <w:lang w:val="en-GB"/>
        </w:rPr>
      </w:pPr>
      <w:r w:rsidRPr="00E43DD7">
        <w:rPr>
          <w:caps/>
          <w:lang w:val="en-GB"/>
        </w:rPr>
        <w:t>Figure 1</w:t>
      </w:r>
    </w:p>
    <w:p w14:paraId="56D7276A" w14:textId="77777777" w:rsidR="001A7EB5" w:rsidRPr="00E43DD7" w:rsidRDefault="001A7EB5" w:rsidP="001A7EB5">
      <w:pPr>
        <w:tabs>
          <w:tab w:val="left" w:pos="1134"/>
          <w:tab w:val="left" w:pos="1871"/>
          <w:tab w:val="left" w:pos="2268"/>
        </w:tabs>
        <w:overflowPunct w:val="0"/>
        <w:autoSpaceDE w:val="0"/>
        <w:autoSpaceDN w:val="0"/>
        <w:adjustRightInd w:val="0"/>
        <w:spacing w:after="120"/>
        <w:jc w:val="center"/>
        <w:textAlignment w:val="baseline"/>
        <w:rPr>
          <w:b/>
          <w:lang w:val="en-GB"/>
        </w:rPr>
      </w:pPr>
      <w:r w:rsidRPr="00E43DD7">
        <w:rPr>
          <w:b/>
          <w:lang w:val="en-GB"/>
        </w:rPr>
        <w:t>Example of spot beam coverage from 3 GSO MSS satellites</w:t>
      </w:r>
    </w:p>
    <w:p w14:paraId="170FFECD" w14:textId="77777777" w:rsidR="001A7EB5" w:rsidRPr="00E43DD7" w:rsidRDefault="001A7EB5" w:rsidP="001A7EB5">
      <w:pPr>
        <w:tabs>
          <w:tab w:val="left" w:pos="1134"/>
          <w:tab w:val="left" w:pos="1871"/>
          <w:tab w:val="left" w:pos="2268"/>
        </w:tabs>
        <w:overflowPunct w:val="0"/>
        <w:autoSpaceDE w:val="0"/>
        <w:autoSpaceDN w:val="0"/>
        <w:adjustRightInd w:val="0"/>
        <w:spacing w:before="120" w:after="240"/>
        <w:jc w:val="center"/>
        <w:textAlignment w:val="baseline"/>
        <w:rPr>
          <w:lang w:val="en-GB"/>
        </w:rPr>
      </w:pPr>
      <w:r w:rsidRPr="00E43DD7">
        <w:rPr>
          <w:noProof/>
          <w:lang w:val="en-GB" w:eastAsia="zh-CN"/>
        </w:rPr>
        <w:drawing>
          <wp:inline distT="0" distB="0" distL="0" distR="0" wp14:anchorId="2A84036F" wp14:editId="25848FCB">
            <wp:extent cx="5234075" cy="2859314"/>
            <wp:effectExtent l="0" t="0" r="5080" b="0"/>
            <wp:docPr id="1289187552" name="Picture 3" descr="Spot beam map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3" descr="Spot beam map 200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258515" cy="2872666"/>
                    </a:xfrm>
                    <a:prstGeom prst="rect">
                      <a:avLst/>
                    </a:prstGeom>
                    <a:noFill/>
                    <a:ln>
                      <a:noFill/>
                    </a:ln>
                    <a:extLst>
                      <a:ext uri="{53640926-AAD7-44D8-BBD7-CCE9431645EC}">
                        <a14:shadowObscured xmlns:a14="http://schemas.microsoft.com/office/drawing/2010/main"/>
                      </a:ext>
                    </a:extLst>
                  </pic:spPr>
                </pic:pic>
              </a:graphicData>
            </a:graphic>
          </wp:inline>
        </w:drawing>
      </w:r>
    </w:p>
    <w:p w14:paraId="5BAECA86" w14:textId="77777777" w:rsidR="001A7EB5" w:rsidRPr="00E43DD7" w:rsidRDefault="001A7EB5" w:rsidP="001A7EB5">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 xml:space="preserve">MSS operators have developed modified mobile earth stations that may be placed on a LEO spacecraft.  </w:t>
      </w:r>
      <w:proofErr w:type="gramStart"/>
      <w:r w:rsidRPr="00E43DD7">
        <w:rPr>
          <w:lang w:val="en-GB"/>
        </w:rPr>
        <w:t>As long as</w:t>
      </w:r>
      <w:proofErr w:type="gramEnd"/>
      <w:r w:rsidRPr="00E43DD7">
        <w:rPr>
          <w:lang w:val="en-GB"/>
        </w:rPr>
        <w:t xml:space="preserve"> the LEO spacecraft is located within a GSO MSS satellite spot beam, it may communicate with the GSO spacecraft. Three GSO satellites equally spaced in geostationary orbit allow connectivity for almost 100% of the time, as shown in Figure 2.</w:t>
      </w:r>
    </w:p>
    <w:p w14:paraId="5B9C5E87" w14:textId="77777777" w:rsidR="001A7EB5" w:rsidRPr="00E43DD7" w:rsidRDefault="001A7EB5" w:rsidP="001A7EB5">
      <w:pPr>
        <w:keepNext/>
        <w:keepLines/>
        <w:tabs>
          <w:tab w:val="left" w:pos="1134"/>
          <w:tab w:val="left" w:pos="1871"/>
          <w:tab w:val="left" w:pos="2268"/>
        </w:tabs>
        <w:overflowPunct w:val="0"/>
        <w:autoSpaceDE w:val="0"/>
        <w:autoSpaceDN w:val="0"/>
        <w:adjustRightInd w:val="0"/>
        <w:spacing w:before="480" w:after="120"/>
        <w:jc w:val="center"/>
        <w:textAlignment w:val="baseline"/>
        <w:rPr>
          <w:caps/>
          <w:lang w:val="en-GB"/>
        </w:rPr>
      </w:pPr>
      <w:r w:rsidRPr="00E43DD7">
        <w:rPr>
          <w:caps/>
          <w:lang w:val="en-GB"/>
        </w:rPr>
        <w:lastRenderedPageBreak/>
        <w:t>Figure 2</w:t>
      </w:r>
    </w:p>
    <w:p w14:paraId="18E357CF" w14:textId="77777777" w:rsidR="001A7EB5" w:rsidRPr="00E43DD7" w:rsidRDefault="001A7EB5" w:rsidP="001A7EB5">
      <w:pPr>
        <w:keepNext/>
        <w:keepLines/>
        <w:tabs>
          <w:tab w:val="left" w:pos="1134"/>
          <w:tab w:val="left" w:pos="1871"/>
          <w:tab w:val="left" w:pos="2268"/>
        </w:tabs>
        <w:overflowPunct w:val="0"/>
        <w:autoSpaceDE w:val="0"/>
        <w:autoSpaceDN w:val="0"/>
        <w:adjustRightInd w:val="0"/>
        <w:spacing w:after="120"/>
        <w:jc w:val="center"/>
        <w:textAlignment w:val="baseline"/>
        <w:rPr>
          <w:b/>
          <w:lang w:val="en-GB"/>
        </w:rPr>
      </w:pPr>
      <w:r w:rsidRPr="00E43DD7">
        <w:rPr>
          <w:b/>
          <w:lang w:val="en-GB"/>
        </w:rPr>
        <w:t>LEO satellite within coverage of GSO MSS satellites</w:t>
      </w:r>
    </w:p>
    <w:p w14:paraId="64AC4FDA" w14:textId="77777777" w:rsidR="001A7EB5" w:rsidRPr="00E43DD7" w:rsidRDefault="00DA6817" w:rsidP="001A7EB5">
      <w:pPr>
        <w:tabs>
          <w:tab w:val="left" w:pos="1134"/>
          <w:tab w:val="left" w:pos="1871"/>
          <w:tab w:val="left" w:pos="2268"/>
        </w:tabs>
        <w:overflowPunct w:val="0"/>
        <w:autoSpaceDE w:val="0"/>
        <w:autoSpaceDN w:val="0"/>
        <w:adjustRightInd w:val="0"/>
        <w:spacing w:before="120" w:after="240"/>
        <w:jc w:val="center"/>
        <w:textAlignment w:val="baseline"/>
        <w:rPr>
          <w:lang w:val="en-GB"/>
        </w:rPr>
      </w:pPr>
      <w:r w:rsidRPr="00EF317B">
        <w:rPr>
          <w:noProof/>
          <w:lang w:val="en-GB"/>
        </w:rPr>
        <w:object w:dxaOrig="6735" w:dyaOrig="5115" w14:anchorId="698D2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4pt;height:254.75pt;mso-width-percent:0;mso-height-percent:0;mso-width-percent:0;mso-height-percent:0" o:ole="">
            <v:imagedata r:id="rId15" o:title=""/>
          </v:shape>
          <o:OLEObject Type="Embed" ProgID="Visio.Drawing.15" ShapeID="_x0000_i1025" DrawAspect="Content" ObjectID="_1773063819" r:id="rId16"/>
        </w:object>
      </w:r>
    </w:p>
    <w:p w14:paraId="41804C1E" w14:textId="77777777" w:rsidR="001A7EB5" w:rsidRPr="00E43DD7" w:rsidRDefault="001A7EB5" w:rsidP="001A7EB5">
      <w:pPr>
        <w:tabs>
          <w:tab w:val="left" w:pos="1134"/>
          <w:tab w:val="left" w:pos="1871"/>
          <w:tab w:val="left" w:pos="2268"/>
        </w:tabs>
        <w:overflowPunct w:val="0"/>
        <w:autoSpaceDE w:val="0"/>
        <w:autoSpaceDN w:val="0"/>
        <w:adjustRightInd w:val="0"/>
        <w:spacing w:before="120"/>
        <w:textAlignment w:val="baseline"/>
        <w:rPr>
          <w:lang w:val="en-GB"/>
        </w:rPr>
      </w:pPr>
      <w:r w:rsidRPr="00E43DD7">
        <w:rPr>
          <w:lang w:val="en-GB"/>
        </w:rPr>
        <w:t xml:space="preserve">The data rates that can be provided are </w:t>
      </w:r>
      <w:proofErr w:type="gramStart"/>
      <w:r w:rsidRPr="00E43DD7">
        <w:rPr>
          <w:lang w:val="en-GB"/>
        </w:rPr>
        <w:t>similar to</w:t>
      </w:r>
      <w:proofErr w:type="gramEnd"/>
      <w:r w:rsidRPr="00E43DD7">
        <w:rPr>
          <w:lang w:val="en-GB"/>
        </w:rPr>
        <w:t xml:space="preserve"> those provided to terrestrial terminals.  For this application, using a background</w:t>
      </w:r>
      <w:r w:rsidRPr="00E43DD7">
        <w:rPr>
          <w:b/>
          <w:lang w:val="en-GB"/>
        </w:rPr>
        <w:t xml:space="preserve"> </w:t>
      </w:r>
      <w:r w:rsidRPr="00E43DD7">
        <w:rPr>
          <w:lang w:val="en-GB"/>
        </w:rPr>
        <w:t>IP protocol, up to 200 kbit/s both to and from the spacecraft is provided.</w:t>
      </w:r>
    </w:p>
    <w:p w14:paraId="07263EF3" w14:textId="7CA6BD9E" w:rsidR="001A7EB5" w:rsidRPr="00E43DD7" w:rsidRDefault="002F2797" w:rsidP="001A7EB5">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lang w:val="en-GB"/>
        </w:rPr>
      </w:pPr>
      <w:r>
        <w:rPr>
          <w:b/>
          <w:lang w:val="en-GB"/>
        </w:rPr>
        <w:t>A.</w:t>
      </w:r>
      <w:r w:rsidR="00911804">
        <w:rPr>
          <w:b/>
          <w:lang w:val="en-GB"/>
        </w:rPr>
        <w:t>2</w:t>
      </w:r>
      <w:r w:rsidR="001A7EB5" w:rsidRPr="00E43DD7">
        <w:rPr>
          <w:b/>
          <w:lang w:val="en-GB"/>
        </w:rPr>
        <w:tab/>
        <w:t xml:space="preserve">Space-to-space links between LEO </w:t>
      </w:r>
      <w:r>
        <w:rPr>
          <w:b/>
          <w:lang w:val="en-GB"/>
        </w:rPr>
        <w:t xml:space="preserve">user </w:t>
      </w:r>
      <w:r w:rsidR="001A7EB5" w:rsidRPr="00E43DD7">
        <w:rPr>
          <w:b/>
          <w:lang w:val="en-GB"/>
        </w:rPr>
        <w:t xml:space="preserve">satellites and non-GSO MSS </w:t>
      </w:r>
      <w:r>
        <w:rPr>
          <w:b/>
          <w:lang w:val="en-GB"/>
        </w:rPr>
        <w:t xml:space="preserve">service provider </w:t>
      </w:r>
      <w:r w:rsidR="001A7EB5" w:rsidRPr="00E43DD7">
        <w:rPr>
          <w:b/>
          <w:lang w:val="en-GB"/>
        </w:rPr>
        <w:t>system satellites</w:t>
      </w:r>
    </w:p>
    <w:p w14:paraId="6149AEFE" w14:textId="77777777" w:rsidR="001A7EB5" w:rsidRPr="00E43DD7" w:rsidRDefault="001A7EB5" w:rsidP="001A7EB5">
      <w:pPr>
        <w:rPr>
          <w:bCs/>
          <w:lang w:val="en-GB"/>
        </w:rPr>
      </w:pPr>
    </w:p>
    <w:p w14:paraId="62CB2162" w14:textId="2F6E009F" w:rsidR="001A7EB5" w:rsidRPr="00E43DD7" w:rsidRDefault="001A7EB5" w:rsidP="001A7EB5">
      <w:r w:rsidRPr="00E43DD7">
        <w:rPr>
          <w:bCs/>
          <w:lang w:val="en-GB"/>
        </w:rPr>
        <w:t xml:space="preserve">[Note: this material will be </w:t>
      </w:r>
      <w:r w:rsidR="00911804">
        <w:rPr>
          <w:bCs/>
          <w:lang w:val="en-GB"/>
        </w:rPr>
        <w:t xml:space="preserve">updated </w:t>
      </w:r>
      <w:r w:rsidRPr="00E43DD7">
        <w:rPr>
          <w:bCs/>
          <w:lang w:val="en-GB"/>
        </w:rPr>
        <w:t>in a future revision of this documen</w:t>
      </w:r>
      <w:r w:rsidRPr="00911804">
        <w:rPr>
          <w:bCs/>
          <w:lang w:val="en-GB"/>
        </w:rPr>
        <w:t>t</w:t>
      </w:r>
      <w:r w:rsidRPr="00980DD5">
        <w:rPr>
          <w:bCs/>
          <w:lang w:val="en-GB"/>
        </w:rPr>
        <w:t>.</w:t>
      </w:r>
      <w:r w:rsidR="00911804">
        <w:rPr>
          <w:bCs/>
          <w:lang w:val="en-GB"/>
        </w:rPr>
        <w:t xml:space="preserve">] </w:t>
      </w:r>
      <w:r w:rsidRPr="00E43DD7">
        <w:t xml:space="preserve">The </w:t>
      </w:r>
      <w:r w:rsidR="008028A2">
        <w:t xml:space="preserve">non-GSO </w:t>
      </w:r>
      <w:r w:rsidRPr="00E43DD7">
        <w:t>HIBLEO-2 satellite system</w:t>
      </w:r>
      <w:r w:rsidR="008028A2">
        <w:t xml:space="preserve"> operates within the 1616-1626.5 MHz band</w:t>
      </w:r>
      <w:r w:rsidRPr="00E43DD7">
        <w:t xml:space="preserve"> employ</w:t>
      </w:r>
      <w:r w:rsidR="008028A2">
        <w:t>ing</w:t>
      </w:r>
      <w:r w:rsidRPr="00E43DD7">
        <w:t xml:space="preserve"> 66 low earth orbit satellites that support user-to-user, user</w:t>
      </w:r>
      <w:r w:rsidRPr="00E43DD7">
        <w:noBreakHyphen/>
        <w:t>to-gateway, and gateway-to-gateway communications. The 66 satellites are evenly distributed in six orbital planes with an 86.4</w:t>
      </w:r>
      <w:r w:rsidRPr="00E43DD7">
        <w:sym w:font="Symbol" w:char="F0B0"/>
      </w:r>
      <w:r w:rsidRPr="00E43DD7">
        <w:t xml:space="preserve"> inclination. The HIBLEO</w:t>
      </w:r>
      <w:r w:rsidRPr="00E43DD7">
        <w:noBreakHyphen/>
        <w:t>2 satellite constellation is depicted in Figure 1. The satellites orbit at an altitude of 780 </w:t>
      </w:r>
      <w:proofErr w:type="spellStart"/>
      <w:r w:rsidRPr="00E43DD7">
        <w:t>kilometres</w:t>
      </w:r>
      <w:proofErr w:type="spellEnd"/>
      <w:r w:rsidRPr="00E43DD7">
        <w:t xml:space="preserve"> and have an orbital period of approximately 100 minutes 28 seconds.</w:t>
      </w:r>
    </w:p>
    <w:p w14:paraId="25CCA803" w14:textId="77777777" w:rsidR="001A7EB5" w:rsidRPr="00B20EBB" w:rsidRDefault="001A7EB5" w:rsidP="001A7EB5">
      <w:pPr>
        <w:pStyle w:val="FigureNo"/>
        <w:spacing w:before="240"/>
        <w:rPr>
          <w:sz w:val="24"/>
          <w:szCs w:val="24"/>
        </w:rPr>
      </w:pPr>
      <w:r w:rsidRPr="00B20EBB">
        <w:rPr>
          <w:sz w:val="24"/>
          <w:szCs w:val="24"/>
        </w:rPr>
        <w:lastRenderedPageBreak/>
        <w:t>Figure 1</w:t>
      </w:r>
    </w:p>
    <w:p w14:paraId="375634C9" w14:textId="77777777" w:rsidR="001A7EB5" w:rsidRPr="00B20EBB" w:rsidRDefault="001A7EB5" w:rsidP="001A7EB5">
      <w:pPr>
        <w:pStyle w:val="Figuretitle"/>
        <w:rPr>
          <w:rFonts w:ascii="Times New Roman" w:hAnsi="Times New Roman"/>
          <w:sz w:val="24"/>
          <w:szCs w:val="24"/>
        </w:rPr>
      </w:pPr>
      <w:r w:rsidRPr="00B20EBB">
        <w:rPr>
          <w:rFonts w:ascii="Times New Roman" w:hAnsi="Times New Roman"/>
          <w:sz w:val="24"/>
          <w:szCs w:val="24"/>
        </w:rPr>
        <w:t xml:space="preserve">HIBLEO-2 satellite </w:t>
      </w:r>
      <w:proofErr w:type="gramStart"/>
      <w:r w:rsidRPr="00B20EBB">
        <w:rPr>
          <w:rFonts w:ascii="Times New Roman" w:hAnsi="Times New Roman"/>
          <w:sz w:val="24"/>
          <w:szCs w:val="24"/>
        </w:rPr>
        <w:t>constellation</w:t>
      </w:r>
      <w:proofErr w:type="gramEnd"/>
    </w:p>
    <w:p w14:paraId="0133D79E" w14:textId="77777777" w:rsidR="001A7EB5" w:rsidRPr="00E43DD7" w:rsidRDefault="001A7EB5" w:rsidP="001A7EB5">
      <w:pPr>
        <w:pStyle w:val="Figure"/>
        <w:rPr>
          <w:szCs w:val="24"/>
        </w:rPr>
      </w:pPr>
      <w:r w:rsidRPr="00E43DD7">
        <w:rPr>
          <w:noProof/>
          <w:szCs w:val="24"/>
          <w:lang w:eastAsia="zh-CN"/>
        </w:rPr>
        <w:drawing>
          <wp:inline distT="0" distB="0" distL="0" distR="0" wp14:anchorId="53F0D24C" wp14:editId="58C07E62">
            <wp:extent cx="2553419" cy="2388349"/>
            <wp:effectExtent l="19050" t="19050" r="18415" b="12065"/>
            <wp:docPr id="1799564091" name="Picture 1799564091" descr="A yellow globe with red lin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globe with red lines around i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2351" t="3609" r="2351" b="3609"/>
                    <a:stretch>
                      <a:fillRect/>
                    </a:stretch>
                  </pic:blipFill>
                  <pic:spPr bwMode="auto">
                    <a:xfrm>
                      <a:off x="0" y="0"/>
                      <a:ext cx="2572121" cy="2405842"/>
                    </a:xfrm>
                    <a:prstGeom prst="rect">
                      <a:avLst/>
                    </a:prstGeom>
                    <a:noFill/>
                    <a:ln w="19050" cmpd="sng">
                      <a:solidFill>
                        <a:srgbClr val="000000"/>
                      </a:solidFill>
                      <a:miter lim="800000"/>
                      <a:headEnd/>
                      <a:tailEnd/>
                    </a:ln>
                    <a:effectLst/>
                  </pic:spPr>
                </pic:pic>
              </a:graphicData>
            </a:graphic>
          </wp:inline>
        </w:drawing>
      </w:r>
    </w:p>
    <w:p w14:paraId="3CE37EA6" w14:textId="77777777" w:rsidR="001A7EB5" w:rsidRPr="00E43DD7" w:rsidRDefault="001A7EB5" w:rsidP="001A7EB5">
      <w:r w:rsidRPr="00E43DD7">
        <w:t>The near polar orbits of the HIBLEO-2 satellite constellation provide global coverage from pole</w:t>
      </w:r>
      <w:r w:rsidRPr="00E43DD7">
        <w:noBreakHyphen/>
        <w:t>to</w:t>
      </w:r>
      <w:r w:rsidRPr="00E43DD7">
        <w:noBreakHyphen/>
        <w:t xml:space="preserve">pole [as depicted in Figure 2]. </w:t>
      </w:r>
    </w:p>
    <w:p w14:paraId="7E7E6D42" w14:textId="4BD00F97" w:rsidR="001A7EB5" w:rsidRPr="00B20EBB" w:rsidRDefault="001A7EB5" w:rsidP="001A7EB5">
      <w:pPr>
        <w:pStyle w:val="FigureNo"/>
        <w:rPr>
          <w:sz w:val="24"/>
          <w:szCs w:val="24"/>
        </w:rPr>
      </w:pPr>
      <w:r w:rsidRPr="00B20EBB">
        <w:rPr>
          <w:sz w:val="24"/>
          <w:szCs w:val="24"/>
        </w:rPr>
        <w:t>Figure 2</w:t>
      </w:r>
    </w:p>
    <w:p w14:paraId="5332892B" w14:textId="44C2266E" w:rsidR="001A7EB5" w:rsidRPr="00B20EBB" w:rsidRDefault="001A7EB5" w:rsidP="001A7EB5">
      <w:pPr>
        <w:pStyle w:val="Figuretitle"/>
        <w:rPr>
          <w:rFonts w:ascii="Times New Roman" w:hAnsi="Times New Roman"/>
          <w:sz w:val="24"/>
          <w:szCs w:val="24"/>
        </w:rPr>
      </w:pPr>
      <w:r w:rsidRPr="00B20EBB">
        <w:rPr>
          <w:rFonts w:ascii="Times New Roman" w:hAnsi="Times New Roman"/>
          <w:sz w:val="24"/>
          <w:szCs w:val="24"/>
        </w:rPr>
        <w:t xml:space="preserve">HIBLEO-2 satellite </w:t>
      </w:r>
      <w:proofErr w:type="gramStart"/>
      <w:r w:rsidRPr="00B20EBB">
        <w:rPr>
          <w:rFonts w:ascii="Times New Roman" w:hAnsi="Times New Roman"/>
          <w:sz w:val="24"/>
          <w:szCs w:val="24"/>
        </w:rPr>
        <w:t>coverage</w:t>
      </w:r>
      <w:proofErr w:type="gramEnd"/>
    </w:p>
    <w:p w14:paraId="54C50AC4" w14:textId="77777777" w:rsidR="001A7EB5" w:rsidRPr="00E43DD7" w:rsidRDefault="001A7EB5" w:rsidP="001A7EB5">
      <w:pPr>
        <w:pStyle w:val="Figure"/>
        <w:rPr>
          <w:szCs w:val="24"/>
        </w:rPr>
      </w:pPr>
      <w:r w:rsidRPr="00E43DD7">
        <w:rPr>
          <w:noProof/>
          <w:szCs w:val="24"/>
          <w:lang w:eastAsia="zh-CN"/>
        </w:rPr>
        <w:drawing>
          <wp:inline distT="0" distB="0" distL="0" distR="0" wp14:anchorId="6BBD4818" wp14:editId="5783C065">
            <wp:extent cx="5353050" cy="2952750"/>
            <wp:effectExtent l="0" t="0" r="0" b="0"/>
            <wp:docPr id="873866300" name="Picture 87386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b="1411"/>
                    <a:stretch>
                      <a:fillRect/>
                    </a:stretch>
                  </pic:blipFill>
                  <pic:spPr bwMode="auto">
                    <a:xfrm>
                      <a:off x="0" y="0"/>
                      <a:ext cx="5353050" cy="2952750"/>
                    </a:xfrm>
                    <a:prstGeom prst="rect">
                      <a:avLst/>
                    </a:prstGeom>
                    <a:noFill/>
                    <a:ln>
                      <a:noFill/>
                    </a:ln>
                  </pic:spPr>
                </pic:pic>
              </a:graphicData>
            </a:graphic>
          </wp:inline>
        </w:drawing>
      </w:r>
    </w:p>
    <w:p w14:paraId="263ADA5F" w14:textId="77777777" w:rsidR="001A7EB5" w:rsidRPr="00E43DD7" w:rsidRDefault="001A7EB5" w:rsidP="001A7EB5">
      <w:r w:rsidRPr="00E43DD7">
        <w:t xml:space="preserve">All communication services are provided independent of latitude and longitude position on the globe. Ship-to-shore, shore-to-ship and ship-to-ship communications are provided by a constellation of low earth orbiting satellites with overlapping coverage areas, providing ubiquitous coverage. </w:t>
      </w:r>
    </w:p>
    <w:p w14:paraId="3AD827D5" w14:textId="77777777" w:rsidR="001A7EB5" w:rsidRPr="00E43DD7" w:rsidRDefault="001A7EB5" w:rsidP="001A7EB5"/>
    <w:p w14:paraId="117CEE7F" w14:textId="77777777" w:rsidR="001A7EB5" w:rsidRPr="00E43DD7" w:rsidRDefault="001A7EB5" w:rsidP="001A7EB5">
      <w:r w:rsidRPr="00E43DD7">
        <w:lastRenderedPageBreak/>
        <w:t>The first-generation constellation was implemented in 1998. It is now being replaced even as many of the original satellites are still working. Second-generation satellites are being launched that include advance technology and functionality. The entire HIBLEO-2 satellite constellation is to be replaced before the end of 2018.</w:t>
      </w:r>
    </w:p>
    <w:p w14:paraId="00D648FF" w14:textId="77777777" w:rsidR="001A7EB5" w:rsidRPr="00E43DD7" w:rsidRDefault="001A7EB5" w:rsidP="001A7EB5"/>
    <w:p w14:paraId="37BAFD5C" w14:textId="7350D26A" w:rsidR="001A7EB5" w:rsidRPr="00E43DD7" w:rsidRDefault="001A7EB5" w:rsidP="001A7EB5">
      <w:r w:rsidRPr="00E43DD7">
        <w:t>Voice, broadcast data, short burst data and “push-to-talk” services are provided globally on a 24×7 basis. Service bearing communications is networked between the satellites in the constellation over</w:t>
      </w:r>
      <w:r w:rsidR="00F0557E">
        <w:t xml:space="preserve"> inter-satellite links operating on Ka-band frequencies.</w:t>
      </w:r>
      <w:r w:rsidRPr="00E43DD7">
        <w:t xml:space="preserve"> </w:t>
      </w:r>
      <w:r w:rsidR="00F0557E">
        <w:t xml:space="preserve">The inter-satellite links </w:t>
      </w:r>
      <w:r w:rsidRPr="00E43DD7">
        <w:t>provide connectivity between satellites without going through a terrestrial earth station. Data is transferred to the ground through one of the ground stations around the globe.</w:t>
      </w:r>
    </w:p>
    <w:p w14:paraId="1B967809" w14:textId="77777777" w:rsidR="001A7EB5" w:rsidRPr="00E43DD7" w:rsidRDefault="001A7EB5" w:rsidP="001A7EB5"/>
    <w:p w14:paraId="7687A664" w14:textId="38566E55" w:rsidR="001A7EB5" w:rsidRPr="00E43DD7" w:rsidRDefault="001A7EB5" w:rsidP="001A7EB5">
      <w:pPr>
        <w:rPr>
          <w:spacing w:val="-2"/>
        </w:rPr>
      </w:pPr>
      <w:r w:rsidRPr="00E43DD7">
        <w:rPr>
          <w:spacing w:val="-2"/>
        </w:rPr>
        <w:t>As mentioned above, the near polar orbits of the HIBLEO-2 satellite constellation provide global coverage from pole to pole. Further the characteristics of this system can also be found in Report ITU</w:t>
      </w:r>
      <w:r w:rsidRPr="00E43DD7">
        <w:rPr>
          <w:spacing w:val="-2"/>
        </w:rPr>
        <w:noBreakHyphen/>
        <w:t xml:space="preserve">R </w:t>
      </w:r>
      <w:r w:rsidRPr="00E43DD7">
        <w:rPr>
          <w:bCs/>
          <w:spacing w:val="-2"/>
        </w:rPr>
        <w:t>M.2369</w:t>
      </w:r>
      <w:r w:rsidRPr="00E43DD7">
        <w:rPr>
          <w:spacing w:val="-2"/>
        </w:rPr>
        <w:t>.</w:t>
      </w:r>
      <w:r w:rsidR="00F0557E">
        <w:rPr>
          <w:spacing w:val="-2"/>
        </w:rPr>
        <w:t>]</w:t>
      </w:r>
      <w:r w:rsidRPr="00E43DD7">
        <w:rPr>
          <w:spacing w:val="-2"/>
        </w:rPr>
        <w:t xml:space="preserve"> </w:t>
      </w:r>
    </w:p>
    <w:p w14:paraId="4D074237" w14:textId="77777777" w:rsidR="001A7EB5" w:rsidRPr="00E43DD7" w:rsidRDefault="001A7EB5" w:rsidP="001A7EB5">
      <w:pPr>
        <w:rPr>
          <w:spacing w:val="-2"/>
        </w:rPr>
      </w:pPr>
    </w:p>
    <w:p w14:paraId="23525AD1" w14:textId="77777777" w:rsidR="001A7EB5" w:rsidRPr="00E43DD7" w:rsidRDefault="001A7EB5" w:rsidP="001A7EB5"/>
    <w:sectPr w:rsidR="001A7EB5" w:rsidRPr="00E43DD7">
      <w:footerReference w:type="even"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CA53" w14:textId="77777777" w:rsidR="0045346C" w:rsidRDefault="0045346C" w:rsidP="00D73705">
      <w:r>
        <w:separator/>
      </w:r>
    </w:p>
  </w:endnote>
  <w:endnote w:type="continuationSeparator" w:id="0">
    <w:p w14:paraId="3549273A" w14:textId="77777777" w:rsidR="0045346C" w:rsidRDefault="0045346C" w:rsidP="00D73705">
      <w:r>
        <w:continuationSeparator/>
      </w:r>
    </w:p>
  </w:endnote>
  <w:endnote w:type="continuationNotice" w:id="1">
    <w:p w14:paraId="147D4B8C" w14:textId="77777777" w:rsidR="0045346C" w:rsidRDefault="0045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x Madefor Text">
    <w:altName w:val="Calibri"/>
    <w:charset w:val="00"/>
    <w:family w:val="swiss"/>
    <w:pitch w:val="variable"/>
    <w:sig w:usb0="A000026F" w:usb1="0000A06B" w:usb2="00000008" w:usb3="00000000" w:csb0="00000197"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EADD" w14:textId="713506BD" w:rsidR="009A4969" w:rsidRDefault="00E704AE">
    <w:pPr>
      <w:pStyle w:val="Footer"/>
    </w:pPr>
    <w:r>
      <w:rPr>
        <w:noProof/>
      </w:rPr>
      <mc:AlternateContent>
        <mc:Choice Requires="wps">
          <w:drawing>
            <wp:anchor distT="0" distB="0" distL="0" distR="0" simplePos="0" relativeHeight="251658241" behindDoc="0" locked="0" layoutInCell="1" allowOverlap="1" wp14:anchorId="1A5085CF" wp14:editId="128365F8">
              <wp:simplePos x="635" y="635"/>
              <wp:positionH relativeFrom="page">
                <wp:align>left</wp:align>
              </wp:positionH>
              <wp:positionV relativeFrom="page">
                <wp:align>bottom</wp:align>
              </wp:positionV>
              <wp:extent cx="443865" cy="443865"/>
              <wp:effectExtent l="0" t="0" r="4445" b="0"/>
              <wp:wrapNone/>
              <wp:docPr id="1298741894" name="Text Box 2"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A100C" w14:textId="18867F31"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085CF" id="_x0000_t202" coordsize="21600,21600" o:spt="202" path="m,l,21600r21600,l21600,xe">
              <v:stroke joinstyle="miter"/>
              <v:path gradientshapeok="t" o:connecttype="rect"/>
            </v:shapetype>
            <v:shape id="Text Box 2" o:spid="_x0000_s1026" type="#_x0000_t202" alt="PUBLIC  |  © INMARSA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23A100C" w14:textId="18867F31"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F3B" w14:textId="5896523A" w:rsidR="009A4969" w:rsidRDefault="00E704AE">
    <w:pPr>
      <w:pStyle w:val="Footer"/>
    </w:pPr>
    <w:r>
      <w:rPr>
        <w:noProof/>
      </w:rPr>
      <mc:AlternateContent>
        <mc:Choice Requires="wps">
          <w:drawing>
            <wp:anchor distT="0" distB="0" distL="0" distR="0" simplePos="0" relativeHeight="251658240" behindDoc="0" locked="0" layoutInCell="1" allowOverlap="1" wp14:anchorId="19DD592F" wp14:editId="616F6100">
              <wp:simplePos x="635" y="635"/>
              <wp:positionH relativeFrom="page">
                <wp:align>left</wp:align>
              </wp:positionH>
              <wp:positionV relativeFrom="page">
                <wp:align>bottom</wp:align>
              </wp:positionV>
              <wp:extent cx="443865" cy="443865"/>
              <wp:effectExtent l="0" t="0" r="4445" b="0"/>
              <wp:wrapNone/>
              <wp:docPr id="322521460" name="Text Box 1"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0D096" w14:textId="65DEC7B5"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DD592F" id="_x0000_t202" coordsize="21600,21600" o:spt="202" path="m,l,21600r21600,l21600,xe">
              <v:stroke joinstyle="miter"/>
              <v:path gradientshapeok="t" o:connecttype="rect"/>
            </v:shapetype>
            <v:shape id="Text Box 1" o:spid="_x0000_s1027" type="#_x0000_t202" alt="PUBLIC  |  © INMARSA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0D0D096" w14:textId="65DEC7B5"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F110" w14:textId="77777777" w:rsidR="0045346C" w:rsidRDefault="0045346C" w:rsidP="00D73705">
      <w:r>
        <w:separator/>
      </w:r>
    </w:p>
  </w:footnote>
  <w:footnote w:type="continuationSeparator" w:id="0">
    <w:p w14:paraId="47630E34" w14:textId="77777777" w:rsidR="0045346C" w:rsidRDefault="0045346C" w:rsidP="00D73705">
      <w:r>
        <w:continuationSeparator/>
      </w:r>
    </w:p>
  </w:footnote>
  <w:footnote w:type="continuationNotice" w:id="1">
    <w:p w14:paraId="24D40A50" w14:textId="77777777" w:rsidR="0045346C" w:rsidRDefault="0045346C"/>
  </w:footnote>
  <w:footnote w:id="2">
    <w:p w14:paraId="1F9BDFAD" w14:textId="3DEC4A83" w:rsidR="000B78DB" w:rsidRDefault="000B78DB">
      <w:pPr>
        <w:pStyle w:val="FootnoteText"/>
      </w:pPr>
      <w:r>
        <w:rPr>
          <w:rStyle w:val="FootnoteReference"/>
        </w:rPr>
        <w:footnoteRef/>
      </w:r>
      <w:r>
        <w:t xml:space="preserve"> A user space station is </w:t>
      </w:r>
      <w:r w:rsidR="00DA1CE7">
        <w:t xml:space="preserve">considered to be </w:t>
      </w:r>
      <w:r w:rsidR="00DA1CE7">
        <w:rPr>
          <w:lang w:eastAsia="zh-CN"/>
        </w:rPr>
        <w:t>a</w:t>
      </w:r>
      <w:r w:rsidR="0097627D" w:rsidRPr="000F5F5E">
        <w:rPr>
          <w:lang w:eastAsia="zh-CN"/>
        </w:rPr>
        <w:t xml:space="preserve"> space station transmitting in the </w:t>
      </w:r>
      <w:r w:rsidR="00DA1CE7">
        <w:rPr>
          <w:lang w:eastAsia="zh-CN"/>
        </w:rPr>
        <w:t>M</w:t>
      </w:r>
      <w:r w:rsidR="0097627D" w:rsidRPr="000F5F5E">
        <w:rPr>
          <w:lang w:eastAsia="zh-CN"/>
        </w:rPr>
        <w:t xml:space="preserve">SS allocation (Earth-to-space) towards </w:t>
      </w:r>
      <w:r w:rsidR="00DA1CE7">
        <w:rPr>
          <w:lang w:eastAsia="zh-CN"/>
        </w:rPr>
        <w:t xml:space="preserve">MSS service provider </w:t>
      </w:r>
      <w:r w:rsidR="0097627D" w:rsidRPr="000F5F5E">
        <w:rPr>
          <w:lang w:eastAsia="zh-CN"/>
        </w:rPr>
        <w:t>space station</w:t>
      </w:r>
      <w:r w:rsidR="00DA1CE7">
        <w:rPr>
          <w:lang w:eastAsia="zh-CN"/>
        </w:rPr>
        <w:t>s</w:t>
      </w:r>
      <w:r w:rsidR="0097627D" w:rsidRPr="000F5F5E">
        <w:rPr>
          <w:lang w:eastAsia="zh-CN"/>
        </w:rPr>
        <w:t xml:space="preserve"> at higher altitudes and receiving in the </w:t>
      </w:r>
      <w:r w:rsidR="00DA1CE7">
        <w:rPr>
          <w:lang w:eastAsia="zh-CN"/>
        </w:rPr>
        <w:t>M</w:t>
      </w:r>
      <w:r w:rsidR="0097627D" w:rsidRPr="000F5F5E">
        <w:rPr>
          <w:lang w:eastAsia="zh-CN"/>
        </w:rPr>
        <w:t xml:space="preserve">SS allocation (space-to-Earth) from </w:t>
      </w:r>
      <w:r w:rsidR="00DA1CE7">
        <w:rPr>
          <w:lang w:eastAsia="zh-CN"/>
        </w:rPr>
        <w:t xml:space="preserve">MSS service provider </w:t>
      </w:r>
      <w:r w:rsidR="0097627D" w:rsidRPr="000F5F5E">
        <w:rPr>
          <w:lang w:eastAsia="zh-CN"/>
        </w:rPr>
        <w:t>space stations at higher altitudes</w:t>
      </w:r>
      <w:r w:rsidR="0051022E" w:rsidRPr="0097627D">
        <w:rPr>
          <w:highlight w:val="cyan"/>
        </w:rPr>
        <w:t>.</w:t>
      </w:r>
    </w:p>
  </w:footnote>
  <w:footnote w:id="3">
    <w:p w14:paraId="0DABC517" w14:textId="095A78E1" w:rsidR="000B78DB" w:rsidRDefault="000B78DB">
      <w:pPr>
        <w:pStyle w:val="FootnoteText"/>
      </w:pPr>
      <w:r>
        <w:rPr>
          <w:rStyle w:val="FootnoteReference"/>
        </w:rPr>
        <w:footnoteRef/>
      </w:r>
      <w:r>
        <w:t xml:space="preserve"> An MSS service provider space station is considered to be a </w:t>
      </w:r>
      <w:r w:rsidRPr="002F1C8C">
        <w:rPr>
          <w:lang w:eastAsia="zh-CN"/>
        </w:rPr>
        <w:t xml:space="preserve">space station transmitting in </w:t>
      </w:r>
      <w:r>
        <w:rPr>
          <w:lang w:eastAsia="zh-CN"/>
        </w:rPr>
        <w:t>an</w:t>
      </w:r>
      <w:r w:rsidRPr="002F1C8C">
        <w:rPr>
          <w:lang w:eastAsia="zh-CN"/>
        </w:rPr>
        <w:t xml:space="preserve"> </w:t>
      </w:r>
      <w:r>
        <w:rPr>
          <w:lang w:eastAsia="zh-CN"/>
        </w:rPr>
        <w:t>M</w:t>
      </w:r>
      <w:r w:rsidRPr="002F1C8C">
        <w:rPr>
          <w:lang w:eastAsia="zh-CN"/>
        </w:rPr>
        <w:t xml:space="preserve">SS allocation (space-to-Earth) towards </w:t>
      </w:r>
      <w:r>
        <w:rPr>
          <w:lang w:eastAsia="zh-CN"/>
        </w:rPr>
        <w:t xml:space="preserve">user </w:t>
      </w:r>
      <w:r w:rsidRPr="002F1C8C">
        <w:rPr>
          <w:lang w:eastAsia="zh-CN"/>
        </w:rPr>
        <w:t xml:space="preserve">space stations at lower altitudes and receiving in </w:t>
      </w:r>
      <w:r>
        <w:rPr>
          <w:lang w:eastAsia="zh-CN"/>
        </w:rPr>
        <w:t>the</w:t>
      </w:r>
      <w:r w:rsidRPr="002F1C8C">
        <w:rPr>
          <w:lang w:eastAsia="zh-CN"/>
        </w:rPr>
        <w:t xml:space="preserve"> </w:t>
      </w:r>
      <w:r>
        <w:rPr>
          <w:lang w:eastAsia="zh-CN"/>
        </w:rPr>
        <w:t>M</w:t>
      </w:r>
      <w:r w:rsidRPr="002F1C8C">
        <w:rPr>
          <w:lang w:eastAsia="zh-CN"/>
        </w:rPr>
        <w:t xml:space="preserve">SS allocation (Earth-to-space) from </w:t>
      </w:r>
      <w:r>
        <w:rPr>
          <w:lang w:eastAsia="zh-CN"/>
        </w:rPr>
        <w:t xml:space="preserve">user </w:t>
      </w:r>
      <w:r w:rsidRPr="002F1C8C">
        <w:rPr>
          <w:lang w:eastAsia="zh-CN"/>
        </w:rPr>
        <w:t>space stations at lower altitudes</w:t>
      </w:r>
      <w:r>
        <w:rPr>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3178"/>
    <w:multiLevelType w:val="hybridMultilevel"/>
    <w:tmpl w:val="F370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065870"/>
    <w:multiLevelType w:val="multilevel"/>
    <w:tmpl w:val="EDFA4A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F96B82"/>
    <w:multiLevelType w:val="hybridMultilevel"/>
    <w:tmpl w:val="2FB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87BF5"/>
    <w:multiLevelType w:val="hybridMultilevel"/>
    <w:tmpl w:val="4436464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hint="default"/>
      </w:rPr>
    </w:lvl>
    <w:lvl w:ilvl="8" w:tplc="04090005" w:tentative="1">
      <w:start w:val="1"/>
      <w:numFmt w:val="bullet"/>
      <w:lvlText w:val=""/>
      <w:lvlJc w:val="left"/>
      <w:pPr>
        <w:ind w:left="6901" w:hanging="360"/>
      </w:pPr>
      <w:rPr>
        <w:rFonts w:ascii="Wingdings" w:hAnsi="Wingdings" w:hint="default"/>
      </w:rPr>
    </w:lvl>
  </w:abstractNum>
  <w:num w:numId="1" w16cid:durableId="1657564386">
    <w:abstractNumId w:val="1"/>
  </w:num>
  <w:num w:numId="2" w16cid:durableId="552424950">
    <w:abstractNumId w:val="3"/>
  </w:num>
  <w:num w:numId="3" w16cid:durableId="900404399">
    <w:abstractNumId w:val="0"/>
  </w:num>
  <w:num w:numId="4" w16cid:durableId="47444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56D3"/>
    <w:rsid w:val="0003036E"/>
    <w:rsid w:val="00036BDF"/>
    <w:rsid w:val="00097512"/>
    <w:rsid w:val="000A4BAE"/>
    <w:rsid w:val="000A4E77"/>
    <w:rsid w:val="000B19DF"/>
    <w:rsid w:val="000B3C0D"/>
    <w:rsid w:val="000B3EC9"/>
    <w:rsid w:val="000B78DB"/>
    <w:rsid w:val="000C3C66"/>
    <w:rsid w:val="00100271"/>
    <w:rsid w:val="001016DD"/>
    <w:rsid w:val="00101F85"/>
    <w:rsid w:val="001123AD"/>
    <w:rsid w:val="00112F5B"/>
    <w:rsid w:val="00124FED"/>
    <w:rsid w:val="00133A8C"/>
    <w:rsid w:val="00135491"/>
    <w:rsid w:val="001476D7"/>
    <w:rsid w:val="00150284"/>
    <w:rsid w:val="001537E1"/>
    <w:rsid w:val="001A7EB5"/>
    <w:rsid w:val="001C76B2"/>
    <w:rsid w:val="001D75F7"/>
    <w:rsid w:val="00201AEF"/>
    <w:rsid w:val="00206A21"/>
    <w:rsid w:val="00222AF0"/>
    <w:rsid w:val="00255F17"/>
    <w:rsid w:val="0026793D"/>
    <w:rsid w:val="002863A5"/>
    <w:rsid w:val="002A362E"/>
    <w:rsid w:val="002D6D68"/>
    <w:rsid w:val="002D7367"/>
    <w:rsid w:val="002F2797"/>
    <w:rsid w:val="0032363D"/>
    <w:rsid w:val="0033069B"/>
    <w:rsid w:val="003407F7"/>
    <w:rsid w:val="003411F1"/>
    <w:rsid w:val="00342711"/>
    <w:rsid w:val="003478F9"/>
    <w:rsid w:val="003554C2"/>
    <w:rsid w:val="00377072"/>
    <w:rsid w:val="00384EF0"/>
    <w:rsid w:val="00392B01"/>
    <w:rsid w:val="003939F8"/>
    <w:rsid w:val="00395699"/>
    <w:rsid w:val="003A17B7"/>
    <w:rsid w:val="003B281B"/>
    <w:rsid w:val="003B7F80"/>
    <w:rsid w:val="003D6694"/>
    <w:rsid w:val="003E17AA"/>
    <w:rsid w:val="003E5E44"/>
    <w:rsid w:val="00416224"/>
    <w:rsid w:val="004226B8"/>
    <w:rsid w:val="00434A34"/>
    <w:rsid w:val="00441282"/>
    <w:rsid w:val="0044796F"/>
    <w:rsid w:val="0045346C"/>
    <w:rsid w:val="00455F59"/>
    <w:rsid w:val="00493A73"/>
    <w:rsid w:val="004A7EAD"/>
    <w:rsid w:val="004B368F"/>
    <w:rsid w:val="004C1487"/>
    <w:rsid w:val="00506113"/>
    <w:rsid w:val="0051022E"/>
    <w:rsid w:val="00517B73"/>
    <w:rsid w:val="005555F3"/>
    <w:rsid w:val="00556CE7"/>
    <w:rsid w:val="005621CA"/>
    <w:rsid w:val="00562B35"/>
    <w:rsid w:val="00563052"/>
    <w:rsid w:val="00570C2A"/>
    <w:rsid w:val="00574AB9"/>
    <w:rsid w:val="005A2496"/>
    <w:rsid w:val="005A33F9"/>
    <w:rsid w:val="005B624A"/>
    <w:rsid w:val="005F5D05"/>
    <w:rsid w:val="00630DA2"/>
    <w:rsid w:val="00637C49"/>
    <w:rsid w:val="00647895"/>
    <w:rsid w:val="006755A1"/>
    <w:rsid w:val="006F0D14"/>
    <w:rsid w:val="00703C38"/>
    <w:rsid w:val="00715DA8"/>
    <w:rsid w:val="00726089"/>
    <w:rsid w:val="00731F24"/>
    <w:rsid w:val="007364A5"/>
    <w:rsid w:val="00777524"/>
    <w:rsid w:val="00790A03"/>
    <w:rsid w:val="00790B35"/>
    <w:rsid w:val="007E1368"/>
    <w:rsid w:val="007F7AAF"/>
    <w:rsid w:val="00800A7F"/>
    <w:rsid w:val="008028A2"/>
    <w:rsid w:val="00802E84"/>
    <w:rsid w:val="008121B3"/>
    <w:rsid w:val="00834FF0"/>
    <w:rsid w:val="008620C3"/>
    <w:rsid w:val="00870D8C"/>
    <w:rsid w:val="008737D8"/>
    <w:rsid w:val="008767D8"/>
    <w:rsid w:val="00886CB7"/>
    <w:rsid w:val="00887BBF"/>
    <w:rsid w:val="008B64BE"/>
    <w:rsid w:val="008D5E88"/>
    <w:rsid w:val="00901EA0"/>
    <w:rsid w:val="00902F96"/>
    <w:rsid w:val="009100D9"/>
    <w:rsid w:val="00911804"/>
    <w:rsid w:val="0092008E"/>
    <w:rsid w:val="00930DA9"/>
    <w:rsid w:val="00945CFF"/>
    <w:rsid w:val="0097627D"/>
    <w:rsid w:val="00980DD5"/>
    <w:rsid w:val="009A4969"/>
    <w:rsid w:val="009A7647"/>
    <w:rsid w:val="009B3D56"/>
    <w:rsid w:val="009C21C0"/>
    <w:rsid w:val="009D7E80"/>
    <w:rsid w:val="009E0BC6"/>
    <w:rsid w:val="009E5510"/>
    <w:rsid w:val="00A00578"/>
    <w:rsid w:val="00A1017E"/>
    <w:rsid w:val="00A179A6"/>
    <w:rsid w:val="00A27113"/>
    <w:rsid w:val="00A51EDE"/>
    <w:rsid w:val="00A5768B"/>
    <w:rsid w:val="00A64F10"/>
    <w:rsid w:val="00A737D2"/>
    <w:rsid w:val="00A758DD"/>
    <w:rsid w:val="00A80E29"/>
    <w:rsid w:val="00A82467"/>
    <w:rsid w:val="00A82FDC"/>
    <w:rsid w:val="00AD3818"/>
    <w:rsid w:val="00AF5D7B"/>
    <w:rsid w:val="00B22793"/>
    <w:rsid w:val="00B27B7C"/>
    <w:rsid w:val="00B35D97"/>
    <w:rsid w:val="00B55170"/>
    <w:rsid w:val="00B61082"/>
    <w:rsid w:val="00B657B2"/>
    <w:rsid w:val="00B804AC"/>
    <w:rsid w:val="00B81383"/>
    <w:rsid w:val="00B86973"/>
    <w:rsid w:val="00BB6FB1"/>
    <w:rsid w:val="00BC0D03"/>
    <w:rsid w:val="00BC7BCB"/>
    <w:rsid w:val="00BD3B56"/>
    <w:rsid w:val="00BD5912"/>
    <w:rsid w:val="00BE72B5"/>
    <w:rsid w:val="00C01580"/>
    <w:rsid w:val="00C01C56"/>
    <w:rsid w:val="00C10334"/>
    <w:rsid w:val="00C26B2F"/>
    <w:rsid w:val="00C369AA"/>
    <w:rsid w:val="00C4629F"/>
    <w:rsid w:val="00C469A4"/>
    <w:rsid w:val="00C52078"/>
    <w:rsid w:val="00C60E8C"/>
    <w:rsid w:val="00C66E15"/>
    <w:rsid w:val="00C67542"/>
    <w:rsid w:val="00C70D86"/>
    <w:rsid w:val="00C948AD"/>
    <w:rsid w:val="00CD7EF7"/>
    <w:rsid w:val="00CE2A97"/>
    <w:rsid w:val="00D063D5"/>
    <w:rsid w:val="00D544BE"/>
    <w:rsid w:val="00D61F42"/>
    <w:rsid w:val="00D63CCF"/>
    <w:rsid w:val="00D73705"/>
    <w:rsid w:val="00D73EC3"/>
    <w:rsid w:val="00DA1CE7"/>
    <w:rsid w:val="00DA6817"/>
    <w:rsid w:val="00DD7DED"/>
    <w:rsid w:val="00E0000B"/>
    <w:rsid w:val="00E04915"/>
    <w:rsid w:val="00E23C33"/>
    <w:rsid w:val="00E265DC"/>
    <w:rsid w:val="00E43DD7"/>
    <w:rsid w:val="00E704AE"/>
    <w:rsid w:val="00E72719"/>
    <w:rsid w:val="00EA0C29"/>
    <w:rsid w:val="00EB4E71"/>
    <w:rsid w:val="00ED1934"/>
    <w:rsid w:val="00EF2A94"/>
    <w:rsid w:val="00EF317B"/>
    <w:rsid w:val="00F047B2"/>
    <w:rsid w:val="00F0557E"/>
    <w:rsid w:val="00F0685D"/>
    <w:rsid w:val="00F130F0"/>
    <w:rsid w:val="00F467AC"/>
    <w:rsid w:val="00F85877"/>
    <w:rsid w:val="00FC71F6"/>
    <w:rsid w:val="00FC7AF6"/>
    <w:rsid w:val="00FD29A6"/>
    <w:rsid w:val="00FD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699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1D75F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A7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3818"/>
    <w:rPr>
      <w:color w:val="605E5C"/>
      <w:shd w:val="clear" w:color="auto" w:fill="E1DFDD"/>
    </w:rPr>
  </w:style>
  <w:style w:type="character" w:customStyle="1" w:styleId="Heading3Char">
    <w:name w:val="Heading 3 Char"/>
    <w:basedOn w:val="DefaultParagraphFont"/>
    <w:link w:val="Heading3"/>
    <w:uiPriority w:val="9"/>
    <w:semiHidden/>
    <w:rsid w:val="001D75F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D75F7"/>
    <w:rPr>
      <w:sz w:val="20"/>
      <w:szCs w:val="20"/>
    </w:rPr>
  </w:style>
  <w:style w:type="character" w:customStyle="1" w:styleId="FootnoteTextChar">
    <w:name w:val="Footnote Text Char"/>
    <w:basedOn w:val="DefaultParagraphFont"/>
    <w:link w:val="FootnoteText"/>
    <w:uiPriority w:val="99"/>
    <w:semiHidden/>
    <w:rsid w:val="001D75F7"/>
    <w:rPr>
      <w:rFonts w:ascii="Times New Roman" w:eastAsia="Times New Roman" w:hAnsi="Times New Roman" w:cs="Times New Roman"/>
      <w:sz w:val="20"/>
      <w:szCs w:val="20"/>
    </w:rPr>
  </w:style>
  <w:style w:type="character" w:styleId="FootnoteReference">
    <w:name w:val="footnote reference"/>
    <w:basedOn w:val="DefaultParagraphFont"/>
    <w:rsid w:val="001D75F7"/>
    <w:rPr>
      <w:position w:val="6"/>
      <w:sz w:val="18"/>
    </w:rPr>
  </w:style>
  <w:style w:type="paragraph" w:styleId="Revision">
    <w:name w:val="Revision"/>
    <w:hidden/>
    <w:uiPriority w:val="99"/>
    <w:semiHidden/>
    <w:rsid w:val="004B368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5E44"/>
    <w:pPr>
      <w:spacing w:before="100" w:beforeAutospacing="1" w:after="100" w:afterAutospacing="1"/>
    </w:pPr>
  </w:style>
  <w:style w:type="character" w:styleId="CommentReference">
    <w:name w:val="annotation reference"/>
    <w:basedOn w:val="DefaultParagraphFont"/>
    <w:uiPriority w:val="99"/>
    <w:semiHidden/>
    <w:unhideWhenUsed/>
    <w:rsid w:val="001123AD"/>
    <w:rPr>
      <w:sz w:val="16"/>
      <w:szCs w:val="16"/>
    </w:rPr>
  </w:style>
  <w:style w:type="paragraph" w:styleId="CommentText">
    <w:name w:val="annotation text"/>
    <w:basedOn w:val="Normal"/>
    <w:link w:val="CommentTextChar"/>
    <w:uiPriority w:val="99"/>
    <w:unhideWhenUsed/>
    <w:rsid w:val="001123AD"/>
    <w:rPr>
      <w:sz w:val="20"/>
      <w:szCs w:val="20"/>
    </w:rPr>
  </w:style>
  <w:style w:type="character" w:customStyle="1" w:styleId="CommentTextChar">
    <w:name w:val="Comment Text Char"/>
    <w:basedOn w:val="DefaultParagraphFont"/>
    <w:link w:val="CommentText"/>
    <w:uiPriority w:val="99"/>
    <w:rsid w:val="00112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3AD"/>
    <w:rPr>
      <w:b/>
      <w:bCs/>
    </w:rPr>
  </w:style>
  <w:style w:type="character" w:customStyle="1" w:styleId="CommentSubjectChar">
    <w:name w:val="Comment Subject Char"/>
    <w:basedOn w:val="CommentTextChar"/>
    <w:link w:val="CommentSubject"/>
    <w:uiPriority w:val="99"/>
    <w:semiHidden/>
    <w:rsid w:val="001123A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4A7EAD"/>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4A7EAD"/>
    <w:rPr>
      <w:rFonts w:ascii="Wix Madefor Text" w:hAnsi="Wix Madefor Text"/>
      <w:b/>
      <w:bCs/>
    </w:rPr>
  </w:style>
  <w:style w:type="paragraph" w:customStyle="1" w:styleId="enumlev1">
    <w:name w:val="enumlev1"/>
    <w:basedOn w:val="Normal"/>
    <w:link w:val="enumlev1Char"/>
    <w:qFormat/>
    <w:rsid w:val="004A7EA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basedOn w:val="DefaultParagraphFont"/>
    <w:link w:val="enumlev1"/>
    <w:qFormat/>
    <w:rsid w:val="004A7EAD"/>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A1017E"/>
    <w:pPr>
      <w:ind w:left="720"/>
      <w:contextualSpacing/>
    </w:pPr>
  </w:style>
  <w:style w:type="paragraph" w:customStyle="1" w:styleId="Figure">
    <w:name w:val="Figure"/>
    <w:basedOn w:val="Normal"/>
    <w:next w:val="Normal"/>
    <w:uiPriority w:val="99"/>
    <w:rsid w:val="00715DA8"/>
    <w:pPr>
      <w:tabs>
        <w:tab w:val="left" w:pos="1134"/>
        <w:tab w:val="left" w:pos="1871"/>
        <w:tab w:val="left" w:pos="2268"/>
      </w:tabs>
      <w:overflowPunct w:val="0"/>
      <w:autoSpaceDE w:val="0"/>
      <w:autoSpaceDN w:val="0"/>
      <w:adjustRightInd w:val="0"/>
      <w:spacing w:before="120" w:after="240"/>
      <w:jc w:val="center"/>
      <w:textAlignment w:val="baseline"/>
    </w:pPr>
    <w:rPr>
      <w:szCs w:val="20"/>
      <w:lang w:val="en-GB"/>
    </w:rPr>
  </w:style>
  <w:style w:type="paragraph" w:customStyle="1" w:styleId="Figuretitle">
    <w:name w:val="Figure_title"/>
    <w:basedOn w:val="Normal"/>
    <w:next w:val="Normal"/>
    <w:link w:val="FiguretitleChar"/>
    <w:rsid w:val="00715DA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link w:val="FigureNoChar"/>
    <w:rsid w:val="00715DA8"/>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FiguretitleChar">
    <w:name w:val="Figure_title Char"/>
    <w:basedOn w:val="DefaultParagraphFont"/>
    <w:link w:val="Figuretitle"/>
    <w:locked/>
    <w:rsid w:val="00715DA8"/>
    <w:rPr>
      <w:rFonts w:ascii="Times New Roman Bold" w:eastAsia="Times New Roman" w:hAnsi="Times New Roman Bold" w:cs="Times New Roman"/>
      <w:b/>
      <w:sz w:val="20"/>
      <w:szCs w:val="20"/>
      <w:lang w:val="en-GB"/>
    </w:rPr>
  </w:style>
  <w:style w:type="character" w:customStyle="1" w:styleId="FigureNoChar">
    <w:name w:val="Figure_No Char"/>
    <w:basedOn w:val="DefaultParagraphFont"/>
    <w:link w:val="FigureNo"/>
    <w:locked/>
    <w:rsid w:val="00715DA8"/>
    <w:rPr>
      <w:rFonts w:ascii="Times New Roman" w:eastAsia="Times New Roman" w:hAnsi="Times New Roman" w:cs="Times New Roman"/>
      <w:caps/>
      <w:sz w:val="20"/>
      <w:szCs w:val="20"/>
      <w:lang w:val="en-GB"/>
    </w:rPr>
  </w:style>
  <w:style w:type="paragraph" w:customStyle="1" w:styleId="Tablehead">
    <w:name w:val="Table_head"/>
    <w:basedOn w:val="Normal"/>
    <w:next w:val="Normal"/>
    <w:link w:val="TableheadChar"/>
    <w:rsid w:val="00C4629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character" w:customStyle="1" w:styleId="TableheadChar">
    <w:name w:val="Table_head Char"/>
    <w:basedOn w:val="DefaultParagraphFont"/>
    <w:link w:val="Tablehead"/>
    <w:locked/>
    <w:rsid w:val="00C4629F"/>
    <w:rPr>
      <w:rFonts w:ascii="Times New Roman" w:eastAsia="Times New Roman" w:hAnsi="Times New Roman" w:cs="Times New Roman"/>
      <w:b/>
      <w:szCs w:val="20"/>
      <w:lang w:val="fr-FR"/>
    </w:rPr>
  </w:style>
  <w:style w:type="paragraph" w:customStyle="1" w:styleId="Tabletext">
    <w:name w:val="Table_text"/>
    <w:basedOn w:val="Normal"/>
    <w:link w:val="TabletextChar"/>
    <w:rsid w:val="00C4629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fr-FR"/>
    </w:rPr>
  </w:style>
  <w:style w:type="character" w:customStyle="1" w:styleId="TabletextChar">
    <w:name w:val="Table_text Char"/>
    <w:basedOn w:val="DefaultParagraphFont"/>
    <w:link w:val="Tabletext"/>
    <w:locked/>
    <w:rsid w:val="00C4629F"/>
    <w:rPr>
      <w:rFonts w:ascii="Times New Roman" w:eastAsia="Times New Roman" w:hAnsi="Times New Roman"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1907">
      <w:bodyDiv w:val="1"/>
      <w:marLeft w:val="0"/>
      <w:marRight w:val="0"/>
      <w:marTop w:val="0"/>
      <w:marBottom w:val="0"/>
      <w:divBdr>
        <w:top w:val="none" w:sz="0" w:space="0" w:color="auto"/>
        <w:left w:val="none" w:sz="0" w:space="0" w:color="auto"/>
        <w:bottom w:val="none" w:sz="0" w:space="0" w:color="auto"/>
        <w:right w:val="none" w:sz="0" w:space="0" w:color="auto"/>
      </w:divBdr>
      <w:divsChild>
        <w:div w:id="104472720">
          <w:marLeft w:val="0"/>
          <w:marRight w:val="0"/>
          <w:marTop w:val="0"/>
          <w:marBottom w:val="0"/>
          <w:divBdr>
            <w:top w:val="none" w:sz="0" w:space="0" w:color="auto"/>
            <w:left w:val="none" w:sz="0" w:space="0" w:color="auto"/>
            <w:bottom w:val="none" w:sz="0" w:space="0" w:color="auto"/>
            <w:right w:val="none" w:sz="0" w:space="0" w:color="auto"/>
          </w:divBdr>
        </w:div>
        <w:div w:id="1429345608">
          <w:marLeft w:val="0"/>
          <w:marRight w:val="0"/>
          <w:marTop w:val="0"/>
          <w:marBottom w:val="0"/>
          <w:divBdr>
            <w:top w:val="none" w:sz="0" w:space="0" w:color="auto"/>
            <w:left w:val="none" w:sz="0" w:space="0" w:color="auto"/>
            <w:bottom w:val="none" w:sz="0" w:space="0" w:color="auto"/>
            <w:right w:val="none" w:sz="0" w:space="0" w:color="auto"/>
          </w:divBdr>
        </w:div>
        <w:div w:id="1919559943">
          <w:marLeft w:val="0"/>
          <w:marRight w:val="0"/>
          <w:marTop w:val="0"/>
          <w:marBottom w:val="0"/>
          <w:divBdr>
            <w:top w:val="none" w:sz="0" w:space="0" w:color="auto"/>
            <w:left w:val="none" w:sz="0" w:space="0" w:color="auto"/>
            <w:bottom w:val="none" w:sz="0" w:space="0" w:color="auto"/>
            <w:right w:val="none" w:sz="0" w:space="0" w:color="auto"/>
          </w:divBdr>
        </w:div>
        <w:div w:id="234240720">
          <w:marLeft w:val="0"/>
          <w:marRight w:val="0"/>
          <w:marTop w:val="0"/>
          <w:marBottom w:val="0"/>
          <w:divBdr>
            <w:top w:val="none" w:sz="0" w:space="0" w:color="auto"/>
            <w:left w:val="none" w:sz="0" w:space="0" w:color="auto"/>
            <w:bottom w:val="none" w:sz="0" w:space="0" w:color="auto"/>
            <w:right w:val="none" w:sz="0" w:space="0" w:color="auto"/>
          </w:divBdr>
        </w:div>
        <w:div w:id="1223952973">
          <w:marLeft w:val="0"/>
          <w:marRight w:val="0"/>
          <w:marTop w:val="0"/>
          <w:marBottom w:val="0"/>
          <w:divBdr>
            <w:top w:val="none" w:sz="0" w:space="0" w:color="auto"/>
            <w:left w:val="none" w:sz="0" w:space="0" w:color="auto"/>
            <w:bottom w:val="none" w:sz="0" w:space="0" w:color="auto"/>
            <w:right w:val="none" w:sz="0" w:space="0" w:color="auto"/>
          </w:divBdr>
        </w:div>
        <w:div w:id="1140807445">
          <w:marLeft w:val="0"/>
          <w:marRight w:val="0"/>
          <w:marTop w:val="0"/>
          <w:marBottom w:val="0"/>
          <w:divBdr>
            <w:top w:val="none" w:sz="0" w:space="0" w:color="auto"/>
            <w:left w:val="none" w:sz="0" w:space="0" w:color="auto"/>
            <w:bottom w:val="none" w:sz="0" w:space="0" w:color="auto"/>
            <w:right w:val="none" w:sz="0" w:space="0" w:color="auto"/>
          </w:divBdr>
        </w:div>
        <w:div w:id="1648704970">
          <w:marLeft w:val="0"/>
          <w:marRight w:val="0"/>
          <w:marTop w:val="0"/>
          <w:marBottom w:val="0"/>
          <w:divBdr>
            <w:top w:val="none" w:sz="0" w:space="0" w:color="auto"/>
            <w:left w:val="none" w:sz="0" w:space="0" w:color="auto"/>
            <w:bottom w:val="none" w:sz="0" w:space="0" w:color="auto"/>
            <w:right w:val="none" w:sz="0" w:space="0" w:color="auto"/>
          </w:divBdr>
        </w:div>
      </w:divsChild>
    </w:div>
    <w:div w:id="486941341">
      <w:bodyDiv w:val="1"/>
      <w:marLeft w:val="0"/>
      <w:marRight w:val="0"/>
      <w:marTop w:val="0"/>
      <w:marBottom w:val="0"/>
      <w:divBdr>
        <w:top w:val="none" w:sz="0" w:space="0" w:color="auto"/>
        <w:left w:val="none" w:sz="0" w:space="0" w:color="auto"/>
        <w:bottom w:val="none" w:sz="0" w:space="0" w:color="auto"/>
        <w:right w:val="none" w:sz="0" w:space="0" w:color="auto"/>
      </w:divBdr>
      <w:divsChild>
        <w:div w:id="1911764995">
          <w:marLeft w:val="0"/>
          <w:marRight w:val="0"/>
          <w:marTop w:val="0"/>
          <w:marBottom w:val="0"/>
          <w:divBdr>
            <w:top w:val="none" w:sz="0" w:space="0" w:color="auto"/>
            <w:left w:val="none" w:sz="0" w:space="0" w:color="auto"/>
            <w:bottom w:val="none" w:sz="0" w:space="0" w:color="auto"/>
            <w:right w:val="none" w:sz="0" w:space="0" w:color="auto"/>
          </w:divBdr>
        </w:div>
        <w:div w:id="1910456193">
          <w:marLeft w:val="0"/>
          <w:marRight w:val="0"/>
          <w:marTop w:val="0"/>
          <w:marBottom w:val="0"/>
          <w:divBdr>
            <w:top w:val="none" w:sz="0" w:space="0" w:color="auto"/>
            <w:left w:val="none" w:sz="0" w:space="0" w:color="auto"/>
            <w:bottom w:val="none" w:sz="0" w:space="0" w:color="auto"/>
            <w:right w:val="none" w:sz="0" w:space="0" w:color="auto"/>
          </w:divBdr>
        </w:div>
        <w:div w:id="1197623741">
          <w:marLeft w:val="0"/>
          <w:marRight w:val="0"/>
          <w:marTop w:val="0"/>
          <w:marBottom w:val="0"/>
          <w:divBdr>
            <w:top w:val="none" w:sz="0" w:space="0" w:color="auto"/>
            <w:left w:val="none" w:sz="0" w:space="0" w:color="auto"/>
            <w:bottom w:val="none" w:sz="0" w:space="0" w:color="auto"/>
            <w:right w:val="none" w:sz="0" w:space="0" w:color="auto"/>
          </w:divBdr>
        </w:div>
        <w:div w:id="39399350">
          <w:marLeft w:val="0"/>
          <w:marRight w:val="0"/>
          <w:marTop w:val="0"/>
          <w:marBottom w:val="0"/>
          <w:divBdr>
            <w:top w:val="none" w:sz="0" w:space="0" w:color="auto"/>
            <w:left w:val="none" w:sz="0" w:space="0" w:color="auto"/>
            <w:bottom w:val="none" w:sz="0" w:space="0" w:color="auto"/>
            <w:right w:val="none" w:sz="0" w:space="0" w:color="auto"/>
          </w:divBdr>
        </w:div>
        <w:div w:id="1954631714">
          <w:marLeft w:val="0"/>
          <w:marRight w:val="0"/>
          <w:marTop w:val="0"/>
          <w:marBottom w:val="0"/>
          <w:divBdr>
            <w:top w:val="none" w:sz="0" w:space="0" w:color="auto"/>
            <w:left w:val="none" w:sz="0" w:space="0" w:color="auto"/>
            <w:bottom w:val="none" w:sz="0" w:space="0" w:color="auto"/>
            <w:right w:val="none" w:sz="0" w:space="0" w:color="auto"/>
          </w:divBdr>
        </w:div>
        <w:div w:id="1167985682">
          <w:marLeft w:val="0"/>
          <w:marRight w:val="0"/>
          <w:marTop w:val="0"/>
          <w:marBottom w:val="0"/>
          <w:divBdr>
            <w:top w:val="none" w:sz="0" w:space="0" w:color="auto"/>
            <w:left w:val="none" w:sz="0" w:space="0" w:color="auto"/>
            <w:bottom w:val="none" w:sz="0" w:space="0" w:color="auto"/>
            <w:right w:val="none" w:sz="0" w:space="0" w:color="auto"/>
          </w:divBdr>
        </w:div>
        <w:div w:id="663045122">
          <w:marLeft w:val="0"/>
          <w:marRight w:val="0"/>
          <w:marTop w:val="0"/>
          <w:marBottom w:val="0"/>
          <w:divBdr>
            <w:top w:val="none" w:sz="0" w:space="0" w:color="auto"/>
            <w:left w:val="none" w:sz="0" w:space="0" w:color="auto"/>
            <w:bottom w:val="none" w:sz="0" w:space="0" w:color="auto"/>
            <w:right w:val="none" w:sz="0" w:space="0" w:color="auto"/>
          </w:divBdr>
        </w:div>
        <w:div w:id="264389324">
          <w:marLeft w:val="0"/>
          <w:marRight w:val="0"/>
          <w:marTop w:val="0"/>
          <w:marBottom w:val="0"/>
          <w:divBdr>
            <w:top w:val="none" w:sz="0" w:space="0" w:color="auto"/>
            <w:left w:val="none" w:sz="0" w:space="0" w:color="auto"/>
            <w:bottom w:val="none" w:sz="0" w:space="0" w:color="auto"/>
            <w:right w:val="none" w:sz="0" w:space="0" w:color="auto"/>
          </w:divBdr>
        </w:div>
        <w:div w:id="469514855">
          <w:marLeft w:val="0"/>
          <w:marRight w:val="0"/>
          <w:marTop w:val="0"/>
          <w:marBottom w:val="0"/>
          <w:divBdr>
            <w:top w:val="none" w:sz="0" w:space="0" w:color="auto"/>
            <w:left w:val="none" w:sz="0" w:space="0" w:color="auto"/>
            <w:bottom w:val="none" w:sz="0" w:space="0" w:color="auto"/>
            <w:right w:val="none" w:sz="0" w:space="0" w:color="auto"/>
          </w:divBdr>
        </w:div>
        <w:div w:id="226230295">
          <w:marLeft w:val="0"/>
          <w:marRight w:val="0"/>
          <w:marTop w:val="0"/>
          <w:marBottom w:val="0"/>
          <w:divBdr>
            <w:top w:val="none" w:sz="0" w:space="0" w:color="auto"/>
            <w:left w:val="none" w:sz="0" w:space="0" w:color="auto"/>
            <w:bottom w:val="none" w:sz="0" w:space="0" w:color="auto"/>
            <w:right w:val="none" w:sz="0" w:space="0" w:color="auto"/>
          </w:divBdr>
        </w:div>
        <w:div w:id="61759684">
          <w:marLeft w:val="0"/>
          <w:marRight w:val="0"/>
          <w:marTop w:val="0"/>
          <w:marBottom w:val="0"/>
          <w:divBdr>
            <w:top w:val="none" w:sz="0" w:space="0" w:color="auto"/>
            <w:left w:val="none" w:sz="0" w:space="0" w:color="auto"/>
            <w:bottom w:val="none" w:sz="0" w:space="0" w:color="auto"/>
            <w:right w:val="none" w:sz="0" w:space="0" w:color="auto"/>
          </w:divBdr>
        </w:div>
        <w:div w:id="1580944740">
          <w:marLeft w:val="0"/>
          <w:marRight w:val="0"/>
          <w:marTop w:val="0"/>
          <w:marBottom w:val="0"/>
          <w:divBdr>
            <w:top w:val="none" w:sz="0" w:space="0" w:color="auto"/>
            <w:left w:val="none" w:sz="0" w:space="0" w:color="auto"/>
            <w:bottom w:val="none" w:sz="0" w:space="0" w:color="auto"/>
            <w:right w:val="none" w:sz="0" w:space="0" w:color="auto"/>
          </w:divBdr>
        </w:div>
        <w:div w:id="202716824">
          <w:marLeft w:val="0"/>
          <w:marRight w:val="0"/>
          <w:marTop w:val="0"/>
          <w:marBottom w:val="0"/>
          <w:divBdr>
            <w:top w:val="none" w:sz="0" w:space="0" w:color="auto"/>
            <w:left w:val="none" w:sz="0" w:space="0" w:color="auto"/>
            <w:bottom w:val="none" w:sz="0" w:space="0" w:color="auto"/>
            <w:right w:val="none" w:sz="0" w:space="0" w:color="auto"/>
          </w:divBdr>
        </w:div>
        <w:div w:id="272782444">
          <w:marLeft w:val="0"/>
          <w:marRight w:val="0"/>
          <w:marTop w:val="0"/>
          <w:marBottom w:val="0"/>
          <w:divBdr>
            <w:top w:val="none" w:sz="0" w:space="0" w:color="auto"/>
            <w:left w:val="none" w:sz="0" w:space="0" w:color="auto"/>
            <w:bottom w:val="none" w:sz="0" w:space="0" w:color="auto"/>
            <w:right w:val="none" w:sz="0" w:space="0" w:color="auto"/>
          </w:divBdr>
        </w:div>
        <w:div w:id="1310983895">
          <w:marLeft w:val="0"/>
          <w:marRight w:val="0"/>
          <w:marTop w:val="0"/>
          <w:marBottom w:val="0"/>
          <w:divBdr>
            <w:top w:val="none" w:sz="0" w:space="0" w:color="auto"/>
            <w:left w:val="none" w:sz="0" w:space="0" w:color="auto"/>
            <w:bottom w:val="none" w:sz="0" w:space="0" w:color="auto"/>
            <w:right w:val="none" w:sz="0" w:space="0" w:color="auto"/>
          </w:divBdr>
        </w:div>
        <w:div w:id="1625111557">
          <w:marLeft w:val="0"/>
          <w:marRight w:val="0"/>
          <w:marTop w:val="0"/>
          <w:marBottom w:val="0"/>
          <w:divBdr>
            <w:top w:val="none" w:sz="0" w:space="0" w:color="auto"/>
            <w:left w:val="none" w:sz="0" w:space="0" w:color="auto"/>
            <w:bottom w:val="none" w:sz="0" w:space="0" w:color="auto"/>
            <w:right w:val="none" w:sz="0" w:space="0" w:color="auto"/>
          </w:divBdr>
        </w:div>
        <w:div w:id="317854964">
          <w:marLeft w:val="0"/>
          <w:marRight w:val="0"/>
          <w:marTop w:val="0"/>
          <w:marBottom w:val="0"/>
          <w:divBdr>
            <w:top w:val="none" w:sz="0" w:space="0" w:color="auto"/>
            <w:left w:val="none" w:sz="0" w:space="0" w:color="auto"/>
            <w:bottom w:val="none" w:sz="0" w:space="0" w:color="auto"/>
            <w:right w:val="none" w:sz="0" w:space="0" w:color="auto"/>
          </w:divBdr>
        </w:div>
        <w:div w:id="1606693582">
          <w:marLeft w:val="0"/>
          <w:marRight w:val="0"/>
          <w:marTop w:val="0"/>
          <w:marBottom w:val="0"/>
          <w:divBdr>
            <w:top w:val="none" w:sz="0" w:space="0" w:color="auto"/>
            <w:left w:val="none" w:sz="0" w:space="0" w:color="auto"/>
            <w:bottom w:val="none" w:sz="0" w:space="0" w:color="auto"/>
            <w:right w:val="none" w:sz="0" w:space="0" w:color="auto"/>
          </w:divBdr>
        </w:div>
        <w:div w:id="738136181">
          <w:marLeft w:val="0"/>
          <w:marRight w:val="0"/>
          <w:marTop w:val="0"/>
          <w:marBottom w:val="0"/>
          <w:divBdr>
            <w:top w:val="none" w:sz="0" w:space="0" w:color="auto"/>
            <w:left w:val="none" w:sz="0" w:space="0" w:color="auto"/>
            <w:bottom w:val="none" w:sz="0" w:space="0" w:color="auto"/>
            <w:right w:val="none" w:sz="0" w:space="0" w:color="auto"/>
          </w:divBdr>
        </w:div>
        <w:div w:id="1869293564">
          <w:marLeft w:val="0"/>
          <w:marRight w:val="0"/>
          <w:marTop w:val="0"/>
          <w:marBottom w:val="0"/>
          <w:divBdr>
            <w:top w:val="none" w:sz="0" w:space="0" w:color="auto"/>
            <w:left w:val="none" w:sz="0" w:space="0" w:color="auto"/>
            <w:bottom w:val="none" w:sz="0" w:space="0" w:color="auto"/>
            <w:right w:val="none" w:sz="0" w:space="0" w:color="auto"/>
          </w:divBdr>
        </w:div>
        <w:div w:id="70658732">
          <w:marLeft w:val="0"/>
          <w:marRight w:val="0"/>
          <w:marTop w:val="0"/>
          <w:marBottom w:val="0"/>
          <w:divBdr>
            <w:top w:val="none" w:sz="0" w:space="0" w:color="auto"/>
            <w:left w:val="none" w:sz="0" w:space="0" w:color="auto"/>
            <w:bottom w:val="none" w:sz="0" w:space="0" w:color="auto"/>
            <w:right w:val="none" w:sz="0" w:space="0" w:color="auto"/>
          </w:divBdr>
        </w:div>
      </w:divsChild>
    </w:div>
    <w:div w:id="910625361">
      <w:bodyDiv w:val="1"/>
      <w:marLeft w:val="0"/>
      <w:marRight w:val="0"/>
      <w:marTop w:val="0"/>
      <w:marBottom w:val="0"/>
      <w:divBdr>
        <w:top w:val="none" w:sz="0" w:space="0" w:color="auto"/>
        <w:left w:val="none" w:sz="0" w:space="0" w:color="auto"/>
        <w:bottom w:val="none" w:sz="0" w:space="0" w:color="auto"/>
        <w:right w:val="none" w:sz="0" w:space="0" w:color="auto"/>
      </w:divBdr>
      <w:divsChild>
        <w:div w:id="66271025">
          <w:marLeft w:val="0"/>
          <w:marRight w:val="0"/>
          <w:marTop w:val="0"/>
          <w:marBottom w:val="0"/>
          <w:divBdr>
            <w:top w:val="none" w:sz="0" w:space="0" w:color="auto"/>
            <w:left w:val="none" w:sz="0" w:space="0" w:color="auto"/>
            <w:bottom w:val="none" w:sz="0" w:space="0" w:color="auto"/>
            <w:right w:val="none" w:sz="0" w:space="0" w:color="auto"/>
          </w:divBdr>
        </w:div>
        <w:div w:id="1637445777">
          <w:marLeft w:val="0"/>
          <w:marRight w:val="0"/>
          <w:marTop w:val="0"/>
          <w:marBottom w:val="0"/>
          <w:divBdr>
            <w:top w:val="none" w:sz="0" w:space="0" w:color="auto"/>
            <w:left w:val="none" w:sz="0" w:space="0" w:color="auto"/>
            <w:bottom w:val="none" w:sz="0" w:space="0" w:color="auto"/>
            <w:right w:val="none" w:sz="0" w:space="0" w:color="auto"/>
          </w:divBdr>
        </w:div>
        <w:div w:id="661396952">
          <w:marLeft w:val="0"/>
          <w:marRight w:val="0"/>
          <w:marTop w:val="0"/>
          <w:marBottom w:val="0"/>
          <w:divBdr>
            <w:top w:val="none" w:sz="0" w:space="0" w:color="auto"/>
            <w:left w:val="none" w:sz="0" w:space="0" w:color="auto"/>
            <w:bottom w:val="none" w:sz="0" w:space="0" w:color="auto"/>
            <w:right w:val="none" w:sz="0" w:space="0" w:color="auto"/>
          </w:divBdr>
        </w:div>
        <w:div w:id="2094936822">
          <w:marLeft w:val="0"/>
          <w:marRight w:val="0"/>
          <w:marTop w:val="0"/>
          <w:marBottom w:val="0"/>
          <w:divBdr>
            <w:top w:val="none" w:sz="0" w:space="0" w:color="auto"/>
            <w:left w:val="none" w:sz="0" w:space="0" w:color="auto"/>
            <w:bottom w:val="none" w:sz="0" w:space="0" w:color="auto"/>
            <w:right w:val="none" w:sz="0" w:space="0" w:color="auto"/>
          </w:divBdr>
        </w:div>
        <w:div w:id="285894361">
          <w:marLeft w:val="0"/>
          <w:marRight w:val="0"/>
          <w:marTop w:val="0"/>
          <w:marBottom w:val="0"/>
          <w:divBdr>
            <w:top w:val="none" w:sz="0" w:space="0" w:color="auto"/>
            <w:left w:val="none" w:sz="0" w:space="0" w:color="auto"/>
            <w:bottom w:val="none" w:sz="0" w:space="0" w:color="auto"/>
            <w:right w:val="none" w:sz="0" w:space="0" w:color="auto"/>
          </w:divBdr>
        </w:div>
        <w:div w:id="1036153999">
          <w:marLeft w:val="0"/>
          <w:marRight w:val="0"/>
          <w:marTop w:val="0"/>
          <w:marBottom w:val="0"/>
          <w:divBdr>
            <w:top w:val="none" w:sz="0" w:space="0" w:color="auto"/>
            <w:left w:val="none" w:sz="0" w:space="0" w:color="auto"/>
            <w:bottom w:val="none" w:sz="0" w:space="0" w:color="auto"/>
            <w:right w:val="none" w:sz="0" w:space="0" w:color="auto"/>
          </w:divBdr>
        </w:div>
        <w:div w:id="1280531457">
          <w:marLeft w:val="0"/>
          <w:marRight w:val="0"/>
          <w:marTop w:val="0"/>
          <w:marBottom w:val="0"/>
          <w:divBdr>
            <w:top w:val="none" w:sz="0" w:space="0" w:color="auto"/>
            <w:left w:val="none" w:sz="0" w:space="0" w:color="auto"/>
            <w:bottom w:val="none" w:sz="0" w:space="0" w:color="auto"/>
            <w:right w:val="none" w:sz="0" w:space="0" w:color="auto"/>
          </w:divBdr>
        </w:div>
      </w:divsChild>
    </w:div>
    <w:div w:id="963584758">
      <w:bodyDiv w:val="1"/>
      <w:marLeft w:val="0"/>
      <w:marRight w:val="0"/>
      <w:marTop w:val="0"/>
      <w:marBottom w:val="0"/>
      <w:divBdr>
        <w:top w:val="none" w:sz="0" w:space="0" w:color="auto"/>
        <w:left w:val="none" w:sz="0" w:space="0" w:color="auto"/>
        <w:bottom w:val="none" w:sz="0" w:space="0" w:color="auto"/>
        <w:right w:val="none" w:sz="0" w:space="0" w:color="auto"/>
      </w:divBdr>
    </w:div>
    <w:div w:id="1467042760">
      <w:bodyDiv w:val="1"/>
      <w:marLeft w:val="0"/>
      <w:marRight w:val="0"/>
      <w:marTop w:val="0"/>
      <w:marBottom w:val="0"/>
      <w:divBdr>
        <w:top w:val="none" w:sz="0" w:space="0" w:color="auto"/>
        <w:left w:val="none" w:sz="0" w:space="0" w:color="auto"/>
        <w:bottom w:val="none" w:sz="0" w:space="0" w:color="auto"/>
        <w:right w:val="none" w:sz="0" w:space="0" w:color="auto"/>
      </w:divBdr>
    </w:div>
    <w:div w:id="1517110649">
      <w:bodyDiv w:val="1"/>
      <w:marLeft w:val="0"/>
      <w:marRight w:val="0"/>
      <w:marTop w:val="0"/>
      <w:marBottom w:val="0"/>
      <w:divBdr>
        <w:top w:val="none" w:sz="0" w:space="0" w:color="auto"/>
        <w:left w:val="none" w:sz="0" w:space="0" w:color="auto"/>
        <w:bottom w:val="none" w:sz="0" w:space="0" w:color="auto"/>
        <w:right w:val="none" w:sz="0" w:space="0" w:color="auto"/>
      </w:divBdr>
      <w:divsChild>
        <w:div w:id="1216896012">
          <w:marLeft w:val="0"/>
          <w:marRight w:val="0"/>
          <w:marTop w:val="0"/>
          <w:marBottom w:val="0"/>
          <w:divBdr>
            <w:top w:val="none" w:sz="0" w:space="0" w:color="auto"/>
            <w:left w:val="none" w:sz="0" w:space="0" w:color="auto"/>
            <w:bottom w:val="none" w:sz="0" w:space="0" w:color="auto"/>
            <w:right w:val="none" w:sz="0" w:space="0" w:color="auto"/>
          </w:divBdr>
          <w:divsChild>
            <w:div w:id="249967194">
              <w:marLeft w:val="0"/>
              <w:marRight w:val="0"/>
              <w:marTop w:val="0"/>
              <w:marBottom w:val="0"/>
              <w:divBdr>
                <w:top w:val="none" w:sz="0" w:space="0" w:color="auto"/>
                <w:left w:val="none" w:sz="0" w:space="0" w:color="auto"/>
                <w:bottom w:val="none" w:sz="0" w:space="0" w:color="auto"/>
                <w:right w:val="none" w:sz="0" w:space="0" w:color="auto"/>
              </w:divBdr>
              <w:divsChild>
                <w:div w:id="10511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4616">
      <w:bodyDiv w:val="1"/>
      <w:marLeft w:val="0"/>
      <w:marRight w:val="0"/>
      <w:marTop w:val="0"/>
      <w:marBottom w:val="0"/>
      <w:divBdr>
        <w:top w:val="none" w:sz="0" w:space="0" w:color="auto"/>
        <w:left w:val="none" w:sz="0" w:space="0" w:color="auto"/>
        <w:bottom w:val="none" w:sz="0" w:space="0" w:color="auto"/>
        <w:right w:val="none" w:sz="0" w:space="0" w:color="auto"/>
      </w:divBdr>
      <w:divsChild>
        <w:div w:id="1023827289">
          <w:marLeft w:val="0"/>
          <w:marRight w:val="0"/>
          <w:marTop w:val="0"/>
          <w:marBottom w:val="0"/>
          <w:divBdr>
            <w:top w:val="none" w:sz="0" w:space="0" w:color="auto"/>
            <w:left w:val="none" w:sz="0" w:space="0" w:color="auto"/>
            <w:bottom w:val="none" w:sz="0" w:space="0" w:color="auto"/>
            <w:right w:val="none" w:sz="0" w:space="0" w:color="auto"/>
          </w:divBdr>
        </w:div>
        <w:div w:id="1380400908">
          <w:marLeft w:val="0"/>
          <w:marRight w:val="0"/>
          <w:marTop w:val="0"/>
          <w:marBottom w:val="0"/>
          <w:divBdr>
            <w:top w:val="none" w:sz="0" w:space="0" w:color="auto"/>
            <w:left w:val="none" w:sz="0" w:space="0" w:color="auto"/>
            <w:bottom w:val="none" w:sz="0" w:space="0" w:color="auto"/>
            <w:right w:val="none" w:sz="0" w:space="0" w:color="auto"/>
          </w:divBdr>
        </w:div>
        <w:div w:id="1335767998">
          <w:marLeft w:val="0"/>
          <w:marRight w:val="0"/>
          <w:marTop w:val="0"/>
          <w:marBottom w:val="0"/>
          <w:divBdr>
            <w:top w:val="none" w:sz="0" w:space="0" w:color="auto"/>
            <w:left w:val="none" w:sz="0" w:space="0" w:color="auto"/>
            <w:bottom w:val="none" w:sz="0" w:space="0" w:color="auto"/>
            <w:right w:val="none" w:sz="0" w:space="0" w:color="auto"/>
          </w:divBdr>
        </w:div>
        <w:div w:id="424233911">
          <w:marLeft w:val="0"/>
          <w:marRight w:val="0"/>
          <w:marTop w:val="0"/>
          <w:marBottom w:val="0"/>
          <w:divBdr>
            <w:top w:val="none" w:sz="0" w:space="0" w:color="auto"/>
            <w:left w:val="none" w:sz="0" w:space="0" w:color="auto"/>
            <w:bottom w:val="none" w:sz="0" w:space="0" w:color="auto"/>
            <w:right w:val="none" w:sz="0" w:space="0" w:color="auto"/>
          </w:divBdr>
        </w:div>
        <w:div w:id="1538858592">
          <w:marLeft w:val="0"/>
          <w:marRight w:val="0"/>
          <w:marTop w:val="0"/>
          <w:marBottom w:val="0"/>
          <w:divBdr>
            <w:top w:val="none" w:sz="0" w:space="0" w:color="auto"/>
            <w:left w:val="none" w:sz="0" w:space="0" w:color="auto"/>
            <w:bottom w:val="none" w:sz="0" w:space="0" w:color="auto"/>
            <w:right w:val="none" w:sz="0" w:space="0" w:color="auto"/>
          </w:divBdr>
        </w:div>
        <w:div w:id="1389112741">
          <w:marLeft w:val="0"/>
          <w:marRight w:val="0"/>
          <w:marTop w:val="0"/>
          <w:marBottom w:val="0"/>
          <w:divBdr>
            <w:top w:val="none" w:sz="0" w:space="0" w:color="auto"/>
            <w:left w:val="none" w:sz="0" w:space="0" w:color="auto"/>
            <w:bottom w:val="none" w:sz="0" w:space="0" w:color="auto"/>
            <w:right w:val="none" w:sz="0" w:space="0" w:color="auto"/>
          </w:divBdr>
        </w:div>
        <w:div w:id="46662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an.price@inmarsat.com" TargetMode="External"/><Relationship Id="rId13" Type="http://schemas.openxmlformats.org/officeDocument/2006/relationships/hyperlink" Target="https://www.itu.int/dms_ties/itu-r/md/15/wp4c/c/R15-WP4C-C-0472!N06!MSW-E.docx"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Microsoft_Visio_Drawing111111.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whyte@teltrium.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dladson@hwglaw.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ana.lawrence@iridium.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1B2A-5836-244C-B7E2-771CB995378F}">
  <ds:schemaRefs>
    <ds:schemaRef ds:uri="http://schemas.openxmlformats.org/officeDocument/2006/bibliography"/>
  </ds:schemaRefs>
</ds:datastoreItem>
</file>

<file path=docMetadata/LabelInfo.xml><?xml version="1.0" encoding="utf-8"?>
<clbl:labelList xmlns:clbl="http://schemas.microsoft.com/office/2020/mipLabelMetadata">
  <clbl:label id="{215603bf-d331-4615-a04c-c64506795477}" enabled="1" method="Privileged" siteId="{43eba056-5ca4-4871-89ac-bdd09160ce7e}"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2024-03-27T20:57:00Z</dcterms:created>
  <dcterms:modified xsi:type="dcterms:W3CDTF">2024-03-27T20:57:00Z</dcterms:modified>
</cp:coreProperties>
</file>