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6F02" w14:textId="5EBDA7FB" w:rsidR="00392B01" w:rsidRDefault="008A7515" w:rsidP="00392B01">
      <w:pPr>
        <w:jc w:val="center"/>
        <w:rPr>
          <w:color w:val="FF0000"/>
        </w:rPr>
      </w:pPr>
      <w:r>
        <w:rPr>
          <w:color w:val="FF0000"/>
        </w:rPr>
        <w:t>This document has not reached consensus in the United States preparatory process.</w:t>
      </w:r>
    </w:p>
    <w:p w14:paraId="7E7BC118" w14:textId="77777777" w:rsidR="008A7515" w:rsidRDefault="008A7515" w:rsidP="00392B01">
      <w:pPr>
        <w:jc w:val="center"/>
        <w:rPr>
          <w:color w:val="FF0000"/>
        </w:rPr>
      </w:pPr>
    </w:p>
    <w:p w14:paraId="0F80B250" w14:textId="73929782" w:rsidR="008A7515" w:rsidRDefault="008A7515" w:rsidP="008A7515">
      <w:r>
        <w:t xml:space="preserve">Viasat states that </w:t>
      </w:r>
      <w:r w:rsidR="00FC2702">
        <w:t xml:space="preserve">Document </w:t>
      </w:r>
      <w:r w:rsidR="00FC2702" w:rsidRPr="00A02BF0">
        <w:t>USWP</w:t>
      </w:r>
      <w:r w:rsidR="00FC2702">
        <w:t>4C-24</w:t>
      </w:r>
      <w:r w:rsidR="00FC2702" w:rsidRPr="00A02BF0">
        <w:t>-</w:t>
      </w:r>
      <w:r w:rsidR="00FC2702">
        <w:t>14</w:t>
      </w:r>
      <w:r>
        <w:t xml:space="preserve"> is consistent with </w:t>
      </w:r>
      <w:r w:rsidR="0047503A">
        <w:t>United States regulation (47 CFR 80.377)</w:t>
      </w:r>
      <w:r w:rsidR="00FF3E9D">
        <w:t xml:space="preserve">, </w:t>
      </w:r>
      <w:r w:rsidR="0047503A">
        <w:t xml:space="preserve">policy at WRC-23 (to retain the GMDSS identification on the subject band, even as the position supported a method different than the outcome), and </w:t>
      </w:r>
      <w:r w:rsidR="00FF3E9D">
        <w:t>the WRC outcome (given the explicit incorporation by reference of Appendix 15 by Article 31.</w:t>
      </w:r>
    </w:p>
    <w:p w14:paraId="57FFA0EF" w14:textId="77777777" w:rsidR="00FF3E9D" w:rsidRDefault="00FF3E9D" w:rsidP="008A7515"/>
    <w:p w14:paraId="67A8BAFC" w14:textId="591131CF" w:rsidR="001871AD" w:rsidRDefault="003714AC" w:rsidP="008A7515">
      <w:r w:rsidRPr="003714AC">
        <w:t>Iridium opposes Document US4C-14, citing that the 1645.5-1646.5 MHz frequency band's inclusion in the GMDSS is obsolete, as the IMO no longer recognizes this band for GMDSS, and WRC-23's introduction of SAT-COM lacks corresponding IMO support. The absence of a maritime-mobile satellite service (MMSS) allocation in the frequency band 1645.5-1646.5 MHz invalidates proposed protective measures in the document, and the omission of essential information in Table 2 fails to address Resolution 252's requirements for adjacent band studies. Consequently, Iridium recommends against the submission of this document by the United States.</w:t>
      </w:r>
    </w:p>
    <w:p w14:paraId="71B61CA2" w14:textId="77777777" w:rsidR="00DA34E3" w:rsidRDefault="00DA34E3" w:rsidP="008A7515"/>
    <w:p w14:paraId="33C76E3F" w14:textId="2EEBCB03" w:rsidR="0030183B" w:rsidRDefault="0030183B" w:rsidP="008A7515">
      <w:r>
        <w:t>Viasat presents the document below the fact sheet, and Iridium attaches a more detailed argument after the document.</w:t>
      </w:r>
    </w:p>
    <w:p w14:paraId="26D8044A" w14:textId="77777777" w:rsidR="0030183B" w:rsidRDefault="0030183B">
      <w:pPr>
        <w:spacing w:after="160" w:line="259" w:lineRule="auto"/>
      </w:pPr>
      <w:r>
        <w:br w:type="page"/>
      </w:r>
    </w:p>
    <w:p w14:paraId="2C6161A5" w14:textId="77777777" w:rsidR="0030183B" w:rsidRDefault="0030183B" w:rsidP="008A7515"/>
    <w:p w14:paraId="72C86FE4" w14:textId="77777777" w:rsidR="0030183B" w:rsidRDefault="0030183B" w:rsidP="0030183B">
      <w:pPr>
        <w:jc w:val="center"/>
        <w:rPr>
          <w:color w:val="FF0000"/>
        </w:rPr>
      </w:pPr>
      <w:r>
        <w:rPr>
          <w:color w:val="FF0000"/>
        </w:rPr>
        <w:t>This document has not reached consensus in the United States preparatory process.</w:t>
      </w:r>
    </w:p>
    <w:p w14:paraId="1D840094" w14:textId="4732FD85" w:rsidR="00DA34E3" w:rsidRDefault="00DA34E3" w:rsidP="008A7515"/>
    <w:p w14:paraId="3DC6360A" w14:textId="77777777" w:rsidR="001871AD" w:rsidRPr="008A7515" w:rsidRDefault="001871AD" w:rsidP="008A7515"/>
    <w:p w14:paraId="682F4D7A" w14:textId="77777777" w:rsidR="008A7515" w:rsidRDefault="008A7515" w:rsidP="00392B01">
      <w:pPr>
        <w:jc w:val="center"/>
      </w:pPr>
    </w:p>
    <w:tbl>
      <w:tblPr>
        <w:tblpPr w:leftFromText="180" w:rightFromText="180" w:vertAnchor="text" w:horzAnchor="margin" w:tblpY="106"/>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647895" w:rsidRPr="00A02BF0" w14:paraId="63DF2D84" w14:textId="77777777" w:rsidTr="0064789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A8B4215" w14:textId="77777777" w:rsidR="00647895" w:rsidRPr="00A02BF0" w:rsidRDefault="00647895" w:rsidP="00647895">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B72F2F3" w14:textId="77777777" w:rsidR="00647895" w:rsidRPr="00A02BF0" w:rsidRDefault="00647895" w:rsidP="00647895">
            <w:pPr>
              <w:pStyle w:val="TabletitleBR"/>
              <w:rPr>
                <w:spacing w:val="-3"/>
                <w:szCs w:val="24"/>
              </w:rPr>
            </w:pPr>
            <w:r w:rsidRPr="00A02BF0">
              <w:rPr>
                <w:spacing w:val="-3"/>
                <w:szCs w:val="24"/>
              </w:rPr>
              <w:t>Fact Sheet</w:t>
            </w:r>
          </w:p>
        </w:tc>
      </w:tr>
      <w:tr w:rsidR="00647895" w:rsidRPr="00A02BF0" w14:paraId="75E81090" w14:textId="77777777" w:rsidTr="00C948AD">
        <w:trPr>
          <w:trHeight w:val="946"/>
        </w:trPr>
        <w:tc>
          <w:tcPr>
            <w:tcW w:w="4567" w:type="dxa"/>
            <w:tcBorders>
              <w:left w:val="double" w:sz="6" w:space="0" w:color="auto"/>
            </w:tcBorders>
          </w:tcPr>
          <w:p w14:paraId="03E2079C" w14:textId="460D3A1D" w:rsidR="00F0685D" w:rsidRPr="00A02BF0" w:rsidRDefault="00647895" w:rsidP="00C948AD">
            <w:pPr>
              <w:spacing w:after="120"/>
              <w:ind w:right="144"/>
            </w:pPr>
            <w:r w:rsidRPr="00A02BF0">
              <w:rPr>
                <w:b/>
              </w:rPr>
              <w:t>Working Party:</w:t>
            </w:r>
            <w:r w:rsidRPr="00A02BF0">
              <w:t xml:space="preserve">  ITU-R WP </w:t>
            </w:r>
            <w:r>
              <w:t>4</w:t>
            </w:r>
            <w:r w:rsidR="002863A5">
              <w:t>C</w:t>
            </w:r>
          </w:p>
        </w:tc>
        <w:tc>
          <w:tcPr>
            <w:tcW w:w="4826" w:type="dxa"/>
            <w:tcBorders>
              <w:right w:val="double" w:sz="6" w:space="0" w:color="auto"/>
            </w:tcBorders>
          </w:tcPr>
          <w:p w14:paraId="114A994E" w14:textId="04EF8ED6" w:rsidR="00647895" w:rsidRPr="00A02BF0" w:rsidRDefault="00647895" w:rsidP="00647895">
            <w:pPr>
              <w:spacing w:after="120"/>
              <w:ind w:right="144"/>
            </w:pPr>
            <w:r w:rsidRPr="00A02BF0">
              <w:rPr>
                <w:b/>
              </w:rPr>
              <w:t>Document No:</w:t>
            </w:r>
            <w:r w:rsidRPr="00A02BF0">
              <w:t xml:space="preserve">  USWP</w:t>
            </w:r>
            <w:r>
              <w:t>4</w:t>
            </w:r>
            <w:r w:rsidR="00C93330">
              <w:t>C-24</w:t>
            </w:r>
            <w:r w:rsidRPr="00A02BF0">
              <w:t>-</w:t>
            </w:r>
            <w:r w:rsidR="00A061A5">
              <w:t>1</w:t>
            </w:r>
            <w:r w:rsidR="00285880">
              <w:t>4</w:t>
            </w:r>
          </w:p>
        </w:tc>
      </w:tr>
      <w:tr w:rsidR="00647895" w:rsidRPr="00A02BF0" w14:paraId="4709C7CF" w14:textId="77777777" w:rsidTr="00647895">
        <w:trPr>
          <w:trHeight w:val="378"/>
        </w:trPr>
        <w:tc>
          <w:tcPr>
            <w:tcW w:w="4567" w:type="dxa"/>
            <w:tcBorders>
              <w:left w:val="double" w:sz="6" w:space="0" w:color="auto"/>
            </w:tcBorders>
          </w:tcPr>
          <w:p w14:paraId="62D04C3C" w14:textId="240A95CB" w:rsidR="00647895" w:rsidRPr="00A02BF0" w:rsidRDefault="00647895" w:rsidP="00647895">
            <w:pPr>
              <w:spacing w:after="120"/>
              <w:ind w:right="144"/>
            </w:pPr>
            <w:r w:rsidRPr="00A02BF0">
              <w:rPr>
                <w:b/>
              </w:rPr>
              <w:t>Ref:</w:t>
            </w:r>
            <w:r>
              <w:rPr>
                <w:b/>
              </w:rPr>
              <w:t xml:space="preserve">  </w:t>
            </w:r>
            <w:r w:rsidR="0026793D">
              <w:t xml:space="preserve">Resolution </w:t>
            </w:r>
            <w:r w:rsidR="000908AE">
              <w:t>252</w:t>
            </w:r>
            <w:r w:rsidR="0026793D">
              <w:t xml:space="preserve"> (WRC-23)</w:t>
            </w:r>
          </w:p>
        </w:tc>
        <w:tc>
          <w:tcPr>
            <w:tcW w:w="4826" w:type="dxa"/>
            <w:tcBorders>
              <w:right w:val="double" w:sz="6" w:space="0" w:color="auto"/>
            </w:tcBorders>
          </w:tcPr>
          <w:p w14:paraId="6C099799" w14:textId="6F360FD3" w:rsidR="00647895" w:rsidRPr="00A02BF0" w:rsidRDefault="00647895" w:rsidP="00647895">
            <w:pPr>
              <w:tabs>
                <w:tab w:val="left" w:pos="162"/>
              </w:tabs>
              <w:spacing w:after="120"/>
              <w:ind w:right="144"/>
            </w:pPr>
            <w:r w:rsidRPr="00A02BF0">
              <w:rPr>
                <w:b/>
              </w:rPr>
              <w:t>Date:</w:t>
            </w:r>
            <w:r w:rsidRPr="00A02BF0">
              <w:t xml:space="preserve">  </w:t>
            </w:r>
            <w:r w:rsidR="0016596D">
              <w:t>22 March</w:t>
            </w:r>
            <w:r>
              <w:t xml:space="preserve"> 2024</w:t>
            </w:r>
          </w:p>
        </w:tc>
      </w:tr>
      <w:tr w:rsidR="00647895" w:rsidRPr="00A02BF0" w14:paraId="7728F6DA" w14:textId="77777777" w:rsidTr="00647895">
        <w:trPr>
          <w:trHeight w:val="459"/>
        </w:trPr>
        <w:tc>
          <w:tcPr>
            <w:tcW w:w="9393" w:type="dxa"/>
            <w:gridSpan w:val="2"/>
            <w:tcBorders>
              <w:left w:val="double" w:sz="6" w:space="0" w:color="auto"/>
              <w:right w:val="double" w:sz="6" w:space="0" w:color="auto"/>
            </w:tcBorders>
          </w:tcPr>
          <w:p w14:paraId="5D433A85" w14:textId="20FF9758" w:rsidR="00647895" w:rsidRPr="00F467AC" w:rsidRDefault="00647895" w:rsidP="00647895">
            <w:pPr>
              <w:pStyle w:val="Heading2"/>
              <w:spacing w:before="0" w:after="120"/>
              <w:ind w:left="0" w:firstLine="0"/>
              <w:rPr>
                <w:b w:val="0"/>
                <w:lang w:eastAsia="zh-CN"/>
              </w:rPr>
            </w:pPr>
            <w:r>
              <w:rPr>
                <w:bCs/>
                <w:szCs w:val="24"/>
              </w:rPr>
              <w:t xml:space="preserve">Document Title:  </w:t>
            </w:r>
            <w:r w:rsidR="00B069A9">
              <w:rPr>
                <w:b w:val="0"/>
                <w:lang w:eastAsia="zh-CN"/>
              </w:rPr>
              <w:t xml:space="preserve">Characteristics of </w:t>
            </w:r>
            <w:r w:rsidR="0082046C">
              <w:rPr>
                <w:b w:val="0"/>
                <w:lang w:eastAsia="zh-CN"/>
              </w:rPr>
              <w:t xml:space="preserve">Stations in the Mobile-Satellite Service in the 1 645.5-1 646.5 MHz </w:t>
            </w:r>
            <w:r w:rsidR="009E5CE2">
              <w:rPr>
                <w:b w:val="0"/>
                <w:lang w:eastAsia="zh-CN"/>
              </w:rPr>
              <w:t>Frequency Band</w:t>
            </w:r>
            <w:r w:rsidR="009C195F">
              <w:rPr>
                <w:b w:val="0"/>
                <w:lang w:eastAsia="zh-CN"/>
              </w:rPr>
              <w:t xml:space="preserve"> </w:t>
            </w:r>
            <w:r w:rsidR="009C195F">
              <w:rPr>
                <w:b w:val="0"/>
                <w:bCs/>
              </w:rPr>
              <w:t>and adjacent bands 1 </w:t>
            </w:r>
            <w:r w:rsidR="009C195F" w:rsidRPr="009C195F">
              <w:rPr>
                <w:b w:val="0"/>
                <w:lang w:eastAsia="zh-CN"/>
              </w:rPr>
              <w:t>626.5-1</w:t>
            </w:r>
            <w:r w:rsidR="009C195F">
              <w:rPr>
                <w:b w:val="0"/>
                <w:lang w:eastAsia="zh-CN"/>
              </w:rPr>
              <w:t> </w:t>
            </w:r>
            <w:r w:rsidR="009C195F" w:rsidRPr="009C195F">
              <w:rPr>
                <w:b w:val="0"/>
                <w:lang w:eastAsia="zh-CN"/>
              </w:rPr>
              <w:t xml:space="preserve">645.5 MHZ </w:t>
            </w:r>
            <w:r w:rsidR="009C195F">
              <w:rPr>
                <w:b w:val="0"/>
                <w:lang w:eastAsia="zh-CN"/>
              </w:rPr>
              <w:t>and</w:t>
            </w:r>
            <w:r w:rsidR="009C195F" w:rsidRPr="009C195F">
              <w:rPr>
                <w:b w:val="0"/>
                <w:lang w:eastAsia="zh-CN"/>
              </w:rPr>
              <w:t xml:space="preserve"> 1</w:t>
            </w:r>
            <w:r w:rsidR="009C195F">
              <w:rPr>
                <w:b w:val="0"/>
                <w:lang w:eastAsia="zh-CN"/>
              </w:rPr>
              <w:t> </w:t>
            </w:r>
            <w:r w:rsidR="009C195F" w:rsidRPr="009C195F">
              <w:rPr>
                <w:b w:val="0"/>
                <w:lang w:eastAsia="zh-CN"/>
              </w:rPr>
              <w:t>646.5-1</w:t>
            </w:r>
            <w:r w:rsidR="009C195F">
              <w:rPr>
                <w:b w:val="0"/>
                <w:lang w:eastAsia="zh-CN"/>
              </w:rPr>
              <w:t> </w:t>
            </w:r>
            <w:r w:rsidR="009C195F" w:rsidRPr="009C195F">
              <w:rPr>
                <w:b w:val="0"/>
                <w:lang w:eastAsia="zh-CN"/>
              </w:rPr>
              <w:t>660.5 MH</w:t>
            </w:r>
            <w:r w:rsidR="009C195F">
              <w:rPr>
                <w:b w:val="0"/>
                <w:lang w:eastAsia="zh-CN"/>
              </w:rPr>
              <w:t>z</w:t>
            </w:r>
          </w:p>
        </w:tc>
      </w:tr>
      <w:tr w:rsidR="00647895" w:rsidRPr="00A02BF0" w14:paraId="19204B51" w14:textId="77777777" w:rsidTr="00647895">
        <w:trPr>
          <w:trHeight w:val="1960"/>
        </w:trPr>
        <w:tc>
          <w:tcPr>
            <w:tcW w:w="4567" w:type="dxa"/>
            <w:tcBorders>
              <w:left w:val="double" w:sz="6" w:space="0" w:color="auto"/>
            </w:tcBorders>
          </w:tcPr>
          <w:p w14:paraId="7992F0AB" w14:textId="77777777" w:rsidR="00647895" w:rsidRPr="00A02BF0" w:rsidRDefault="00647895" w:rsidP="00B81383">
            <w:pPr>
              <w:spacing w:after="120"/>
              <w:ind w:right="144"/>
              <w:rPr>
                <w:b/>
              </w:rPr>
            </w:pPr>
            <w:r w:rsidRPr="00A02BF0">
              <w:rPr>
                <w:b/>
              </w:rPr>
              <w:t>Author(s)/Contributors(s):</w:t>
            </w:r>
          </w:p>
          <w:p w14:paraId="1527CA7B" w14:textId="7B73C974" w:rsidR="00647895" w:rsidRDefault="00AD3818" w:rsidP="00647895">
            <w:pPr>
              <w:ind w:left="144" w:right="144"/>
              <w:rPr>
                <w:bCs/>
                <w:iCs/>
              </w:rPr>
            </w:pPr>
            <w:r>
              <w:rPr>
                <w:bCs/>
                <w:iCs/>
              </w:rPr>
              <w:t>Brennan Price</w:t>
            </w:r>
          </w:p>
          <w:p w14:paraId="328F9BFD" w14:textId="34E9BBD3" w:rsidR="00647895" w:rsidRDefault="00AD3818" w:rsidP="00647895">
            <w:pPr>
              <w:ind w:left="144" w:right="144"/>
              <w:rPr>
                <w:bCs/>
                <w:iCs/>
              </w:rPr>
            </w:pPr>
            <w:r>
              <w:rPr>
                <w:bCs/>
                <w:iCs/>
              </w:rPr>
              <w:t>Viasat</w:t>
            </w:r>
          </w:p>
          <w:p w14:paraId="3D2C8736" w14:textId="794CDABE" w:rsidR="00647895" w:rsidRPr="00A02BF0" w:rsidRDefault="00647895" w:rsidP="00647895">
            <w:pPr>
              <w:spacing w:after="120"/>
              <w:ind w:left="144" w:right="144"/>
              <w:rPr>
                <w:bCs/>
                <w:iCs/>
              </w:rPr>
            </w:pPr>
          </w:p>
        </w:tc>
        <w:tc>
          <w:tcPr>
            <w:tcW w:w="4826" w:type="dxa"/>
            <w:tcBorders>
              <w:right w:val="double" w:sz="6" w:space="0" w:color="auto"/>
            </w:tcBorders>
          </w:tcPr>
          <w:p w14:paraId="704BF15D" w14:textId="77777777" w:rsidR="00647895" w:rsidRDefault="00647895" w:rsidP="00B81383">
            <w:pPr>
              <w:spacing w:after="120"/>
              <w:ind w:right="144"/>
              <w:rPr>
                <w:b/>
                <w:bCs/>
              </w:rPr>
            </w:pPr>
          </w:p>
          <w:p w14:paraId="2C777951" w14:textId="702C98A4" w:rsidR="00E265DC" w:rsidRPr="00F022CE" w:rsidRDefault="00647895" w:rsidP="00E265DC">
            <w:pPr>
              <w:ind w:right="144"/>
              <w:rPr>
                <w:bCs/>
              </w:rPr>
            </w:pPr>
            <w:r w:rsidRPr="00BD3B56">
              <w:rPr>
                <w:bCs/>
              </w:rPr>
              <w:t xml:space="preserve">Email:  </w:t>
            </w:r>
            <w:hyperlink r:id="rId6" w:history="1">
              <w:r w:rsidR="00AD3818" w:rsidRPr="00090340">
                <w:rPr>
                  <w:rStyle w:val="Hyperlink"/>
                  <w:bCs/>
                </w:rPr>
                <w:t>brennan.price@inmarsat.com</w:t>
              </w:r>
            </w:hyperlink>
            <w:r w:rsidR="00AD3818">
              <w:rPr>
                <w:bCs/>
              </w:rPr>
              <w:t xml:space="preserve"> [sic]</w:t>
            </w:r>
            <w:r w:rsidRPr="00BD3B56">
              <w:rPr>
                <w:bCs/>
              </w:rPr>
              <w:br/>
              <w:t xml:space="preserve">Phone:  </w:t>
            </w:r>
            <w:r w:rsidR="00AD3818">
              <w:rPr>
                <w:bCs/>
              </w:rPr>
              <w:t>+1 703 223-3327</w:t>
            </w:r>
            <w:r w:rsidRPr="00BD3B56">
              <w:rPr>
                <w:bCs/>
              </w:rPr>
              <w:br/>
            </w:r>
          </w:p>
          <w:p w14:paraId="29A0CE8A" w14:textId="1EDC7525" w:rsidR="00647895" w:rsidRPr="00F022CE" w:rsidRDefault="00647895" w:rsidP="00647895">
            <w:pPr>
              <w:spacing w:after="120"/>
              <w:ind w:right="144"/>
              <w:rPr>
                <w:bCs/>
              </w:rPr>
            </w:pPr>
          </w:p>
        </w:tc>
      </w:tr>
      <w:tr w:rsidR="00647895" w:rsidRPr="00A02BF0" w14:paraId="2CE92B9B" w14:textId="77777777" w:rsidTr="00647895">
        <w:trPr>
          <w:trHeight w:val="541"/>
        </w:trPr>
        <w:tc>
          <w:tcPr>
            <w:tcW w:w="9393" w:type="dxa"/>
            <w:gridSpan w:val="2"/>
            <w:tcBorders>
              <w:left w:val="double" w:sz="6" w:space="0" w:color="auto"/>
              <w:right w:val="double" w:sz="6" w:space="0" w:color="auto"/>
            </w:tcBorders>
          </w:tcPr>
          <w:p w14:paraId="06F62B56" w14:textId="63EA465A" w:rsidR="00731F24" w:rsidRPr="00E23C33" w:rsidRDefault="00647895" w:rsidP="00647895">
            <w:pPr>
              <w:spacing w:after="120"/>
              <w:ind w:right="144"/>
              <w:rPr>
                <w:bCs/>
              </w:rPr>
            </w:pPr>
            <w:r w:rsidRPr="00A02BF0">
              <w:rPr>
                <w:b/>
              </w:rPr>
              <w:t>Purpose:</w:t>
            </w:r>
            <w:r w:rsidRPr="00A02BF0">
              <w:rPr>
                <w:bCs/>
              </w:rPr>
              <w:t xml:space="preserve"> </w:t>
            </w:r>
            <w:r>
              <w:rPr>
                <w:bCs/>
              </w:rPr>
              <w:t xml:space="preserve"> </w:t>
            </w:r>
            <w:r w:rsidR="00BC0D03">
              <w:rPr>
                <w:bCs/>
              </w:rPr>
              <w:t xml:space="preserve">To </w:t>
            </w:r>
            <w:r w:rsidR="00751A93">
              <w:rPr>
                <w:bCs/>
              </w:rPr>
              <w:t xml:space="preserve">provide </w:t>
            </w:r>
            <w:r w:rsidR="006C2B25">
              <w:rPr>
                <w:bCs/>
              </w:rPr>
              <w:t xml:space="preserve">characteristics necessary for sharing and compatibility studies </w:t>
            </w:r>
            <w:r w:rsidR="00FC6560">
              <w:rPr>
                <w:bCs/>
              </w:rPr>
              <w:t xml:space="preserve">for WRC-27 agenda item 1.12, as </w:t>
            </w:r>
            <w:r w:rsidR="006C2B25">
              <w:rPr>
                <w:bCs/>
              </w:rPr>
              <w:t xml:space="preserve">called for by </w:t>
            </w:r>
            <w:r w:rsidR="006C2B25">
              <w:rPr>
                <w:bCs/>
                <w:i/>
                <w:iCs/>
              </w:rPr>
              <w:t xml:space="preserve">resolves to invite the ITU </w:t>
            </w:r>
            <w:r w:rsidR="001C056B">
              <w:rPr>
                <w:bCs/>
                <w:i/>
                <w:iCs/>
              </w:rPr>
              <w:t>Radiocommunication Sector</w:t>
            </w:r>
            <w:r w:rsidR="001C056B">
              <w:rPr>
                <w:bCs/>
              </w:rPr>
              <w:t xml:space="preserve"> 2 of Resolution </w:t>
            </w:r>
            <w:r w:rsidR="000908AE">
              <w:rPr>
                <w:bCs/>
              </w:rPr>
              <w:t>252</w:t>
            </w:r>
            <w:r w:rsidR="001C056B">
              <w:rPr>
                <w:bCs/>
              </w:rPr>
              <w:t>.</w:t>
            </w:r>
          </w:p>
        </w:tc>
      </w:tr>
      <w:tr w:rsidR="00647895" w:rsidRPr="00A02BF0" w14:paraId="4ABEBB1A" w14:textId="77777777" w:rsidTr="00647895">
        <w:trPr>
          <w:trHeight w:val="1380"/>
        </w:trPr>
        <w:tc>
          <w:tcPr>
            <w:tcW w:w="9393" w:type="dxa"/>
            <w:gridSpan w:val="2"/>
            <w:tcBorders>
              <w:left w:val="double" w:sz="6" w:space="0" w:color="auto"/>
              <w:bottom w:val="single" w:sz="12" w:space="0" w:color="auto"/>
              <w:right w:val="double" w:sz="6" w:space="0" w:color="auto"/>
            </w:tcBorders>
          </w:tcPr>
          <w:p w14:paraId="083A96FA" w14:textId="5D6D009E" w:rsidR="00647895" w:rsidRPr="00A02BF0" w:rsidRDefault="00647895" w:rsidP="00647895">
            <w:pPr>
              <w:tabs>
                <w:tab w:val="left" w:pos="794"/>
                <w:tab w:val="left" w:pos="1191"/>
                <w:tab w:val="left" w:pos="1588"/>
                <w:tab w:val="left" w:pos="1985"/>
              </w:tabs>
              <w:suppressAutoHyphens/>
              <w:spacing w:after="120"/>
              <w:rPr>
                <w:bCs/>
              </w:rPr>
            </w:pPr>
            <w:r w:rsidRPr="00A02BF0">
              <w:rPr>
                <w:b/>
              </w:rPr>
              <w:t>Abstract:</w:t>
            </w:r>
            <w:r w:rsidRPr="00A02BF0">
              <w:rPr>
                <w:bCs/>
              </w:rPr>
              <w:t xml:space="preserve">  </w:t>
            </w:r>
            <w:r w:rsidR="00E23C33">
              <w:rPr>
                <w:bCs/>
              </w:rPr>
              <w:t xml:space="preserve">The contribution will </w:t>
            </w:r>
            <w:r w:rsidR="00AE5830">
              <w:rPr>
                <w:bCs/>
              </w:rPr>
              <w:t xml:space="preserve">provide characteristics of stations utilized for </w:t>
            </w:r>
            <w:r w:rsidR="00A33DA7">
              <w:rPr>
                <w:bCs/>
              </w:rPr>
              <w:t xml:space="preserve">distress, urgency, and safety communications in the </w:t>
            </w:r>
            <w:r w:rsidR="00F746AB">
              <w:rPr>
                <w:bCs/>
              </w:rPr>
              <w:t xml:space="preserve">1 645.5-1 646.5 MHz frequency band, as prescribed by </w:t>
            </w:r>
            <w:r w:rsidR="00FC6560">
              <w:rPr>
                <w:bCs/>
              </w:rPr>
              <w:t>RR No. 5.375 and Article 31.</w:t>
            </w:r>
            <w:r w:rsidR="009C195F">
              <w:rPr>
                <w:bCs/>
              </w:rPr>
              <w:t xml:space="preserve"> The contribution also describes characteristics of stations in adjacent frequency bands.</w:t>
            </w:r>
          </w:p>
        </w:tc>
      </w:tr>
    </w:tbl>
    <w:p w14:paraId="4031A9E1" w14:textId="63A470A1" w:rsidR="00A9189F" w:rsidRDefault="00A9189F"/>
    <w:p w14:paraId="3681B618" w14:textId="77777777" w:rsidR="00A9189F" w:rsidRDefault="00A9189F">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A57DB" w:rsidRPr="00CA57DB" w14:paraId="36964F87" w14:textId="77777777" w:rsidTr="00655D8A">
        <w:trPr>
          <w:cantSplit/>
        </w:trPr>
        <w:tc>
          <w:tcPr>
            <w:tcW w:w="6487" w:type="dxa"/>
            <w:vAlign w:val="center"/>
          </w:tcPr>
          <w:p w14:paraId="586ECCC5" w14:textId="77777777" w:rsidR="00CA57DB" w:rsidRPr="00CA57DB" w:rsidRDefault="00CA57DB" w:rsidP="00CA57DB">
            <w:pPr>
              <w:shd w:val="solid" w:color="FFFFFF" w:fill="FFFFFF"/>
              <w:tabs>
                <w:tab w:val="left" w:pos="1134"/>
                <w:tab w:val="left" w:pos="1871"/>
                <w:tab w:val="left" w:pos="2268"/>
              </w:tabs>
              <w:overflowPunct w:val="0"/>
              <w:autoSpaceDE w:val="0"/>
              <w:autoSpaceDN w:val="0"/>
              <w:adjustRightInd w:val="0"/>
              <w:textAlignment w:val="baseline"/>
              <w:rPr>
                <w:rFonts w:ascii="Verdana" w:hAnsi="Verdana" w:cs="Times New Roman Bold"/>
                <w:b/>
                <w:bCs/>
                <w:sz w:val="26"/>
                <w:szCs w:val="26"/>
                <w:lang w:val="en-GB"/>
              </w:rPr>
            </w:pPr>
            <w:r w:rsidRPr="00CA57DB">
              <w:rPr>
                <w:rFonts w:ascii="Verdana" w:hAnsi="Verdana" w:cs="Times New Roman Bold"/>
                <w:b/>
                <w:bCs/>
                <w:sz w:val="26"/>
                <w:szCs w:val="26"/>
                <w:lang w:val="en-GB"/>
              </w:rPr>
              <w:lastRenderedPageBreak/>
              <w:t>Radiocommunication Study Groups</w:t>
            </w:r>
          </w:p>
        </w:tc>
        <w:tc>
          <w:tcPr>
            <w:tcW w:w="3402" w:type="dxa"/>
          </w:tcPr>
          <w:p w14:paraId="2DB291F6" w14:textId="77777777" w:rsidR="00CA57DB" w:rsidRPr="00CA57DB" w:rsidRDefault="00CA57DB" w:rsidP="00CA57DB">
            <w:pPr>
              <w:shd w:val="solid" w:color="FFFFFF" w:fill="FFFFFF"/>
              <w:tabs>
                <w:tab w:val="left" w:pos="1134"/>
                <w:tab w:val="left" w:pos="1871"/>
                <w:tab w:val="left" w:pos="2268"/>
              </w:tabs>
              <w:overflowPunct w:val="0"/>
              <w:autoSpaceDE w:val="0"/>
              <w:autoSpaceDN w:val="0"/>
              <w:adjustRightInd w:val="0"/>
              <w:spacing w:line="240" w:lineRule="atLeast"/>
              <w:textAlignment w:val="baseline"/>
              <w:rPr>
                <w:szCs w:val="20"/>
                <w:lang w:val="en-GB"/>
              </w:rPr>
            </w:pPr>
            <w:bookmarkStart w:id="0" w:name="ditulogo"/>
            <w:bookmarkEnd w:id="0"/>
            <w:r w:rsidRPr="00CA57DB">
              <w:rPr>
                <w:noProof/>
                <w:szCs w:val="20"/>
              </w:rPr>
              <w:drawing>
                <wp:inline distT="0" distB="0" distL="0" distR="0" wp14:anchorId="4FC9AE4B" wp14:editId="094534ED">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A57DB" w:rsidRPr="00CA57DB" w14:paraId="6ACF20AB" w14:textId="77777777" w:rsidTr="00655D8A">
        <w:trPr>
          <w:cantSplit/>
        </w:trPr>
        <w:tc>
          <w:tcPr>
            <w:tcW w:w="6487" w:type="dxa"/>
            <w:tcBorders>
              <w:bottom w:val="single" w:sz="12" w:space="0" w:color="auto"/>
            </w:tcBorders>
          </w:tcPr>
          <w:p w14:paraId="3F75BA9F" w14:textId="77777777" w:rsidR="00CA57DB" w:rsidRPr="00CA57DB" w:rsidRDefault="00CA57DB" w:rsidP="00CA57DB">
            <w:pPr>
              <w:shd w:val="solid" w:color="FFFFFF" w:fill="FFFFFF"/>
              <w:tabs>
                <w:tab w:val="left" w:pos="1134"/>
                <w:tab w:val="left" w:pos="1871"/>
                <w:tab w:val="left" w:pos="2268"/>
              </w:tabs>
              <w:overflowPunct w:val="0"/>
              <w:autoSpaceDE w:val="0"/>
              <w:autoSpaceDN w:val="0"/>
              <w:adjustRightInd w:val="0"/>
              <w:spacing w:after="48"/>
              <w:textAlignment w:val="baseline"/>
              <w:rPr>
                <w:rFonts w:ascii="Verdana" w:hAnsi="Verdana" w:cs="Times New Roman Bold"/>
                <w:b/>
                <w:sz w:val="22"/>
                <w:szCs w:val="22"/>
                <w:lang w:val="en-GB"/>
              </w:rPr>
            </w:pPr>
          </w:p>
        </w:tc>
        <w:tc>
          <w:tcPr>
            <w:tcW w:w="3402" w:type="dxa"/>
            <w:tcBorders>
              <w:bottom w:val="single" w:sz="12" w:space="0" w:color="auto"/>
            </w:tcBorders>
          </w:tcPr>
          <w:p w14:paraId="228531AB" w14:textId="77777777" w:rsidR="00CA57DB" w:rsidRPr="00CA57DB" w:rsidRDefault="00CA57DB" w:rsidP="00CA57DB">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sz w:val="22"/>
                <w:szCs w:val="22"/>
              </w:rPr>
            </w:pPr>
          </w:p>
        </w:tc>
      </w:tr>
      <w:tr w:rsidR="00CA57DB" w:rsidRPr="00CA57DB" w14:paraId="4B1A96A9" w14:textId="77777777" w:rsidTr="00655D8A">
        <w:trPr>
          <w:cantSplit/>
        </w:trPr>
        <w:tc>
          <w:tcPr>
            <w:tcW w:w="6487" w:type="dxa"/>
            <w:tcBorders>
              <w:top w:val="single" w:sz="12" w:space="0" w:color="auto"/>
            </w:tcBorders>
          </w:tcPr>
          <w:p w14:paraId="27253F20" w14:textId="77777777" w:rsidR="00CA57DB" w:rsidRPr="00CA57DB" w:rsidRDefault="00CA57DB" w:rsidP="00CA57DB">
            <w:pPr>
              <w:shd w:val="solid" w:color="FFFFFF" w:fill="FFFFFF"/>
              <w:tabs>
                <w:tab w:val="left" w:pos="1134"/>
                <w:tab w:val="left" w:pos="1871"/>
                <w:tab w:val="left" w:pos="2268"/>
              </w:tabs>
              <w:overflowPunct w:val="0"/>
              <w:autoSpaceDE w:val="0"/>
              <w:autoSpaceDN w:val="0"/>
              <w:adjustRightInd w:val="0"/>
              <w:spacing w:after="48"/>
              <w:textAlignment w:val="baseline"/>
              <w:rPr>
                <w:rFonts w:ascii="Verdana" w:hAnsi="Verdana" w:cs="Times New Roman Bold"/>
                <w:bCs/>
                <w:sz w:val="22"/>
                <w:szCs w:val="22"/>
                <w:lang w:val="en-GB"/>
              </w:rPr>
            </w:pPr>
          </w:p>
        </w:tc>
        <w:tc>
          <w:tcPr>
            <w:tcW w:w="3402" w:type="dxa"/>
            <w:tcBorders>
              <w:top w:val="single" w:sz="12" w:space="0" w:color="auto"/>
            </w:tcBorders>
          </w:tcPr>
          <w:p w14:paraId="5AF383F8" w14:textId="77777777" w:rsidR="00CA57DB" w:rsidRPr="00CA57DB" w:rsidRDefault="00CA57DB" w:rsidP="00CA57DB">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szCs w:val="20"/>
              </w:rPr>
            </w:pPr>
          </w:p>
        </w:tc>
      </w:tr>
      <w:tr w:rsidR="00CA57DB" w:rsidRPr="00CA57DB" w14:paraId="68F300C9" w14:textId="77777777" w:rsidTr="00655D8A">
        <w:trPr>
          <w:cantSplit/>
        </w:trPr>
        <w:tc>
          <w:tcPr>
            <w:tcW w:w="6487" w:type="dxa"/>
            <w:vMerge w:val="restart"/>
          </w:tcPr>
          <w:p w14:paraId="5612BBDE" w14:textId="03397AE5" w:rsidR="00CA57DB" w:rsidRPr="00CA57DB" w:rsidRDefault="00CA57DB" w:rsidP="00CA57DB">
            <w:pPr>
              <w:shd w:val="solid" w:color="FFFFFF" w:fill="FFFFFF"/>
              <w:overflowPunct w:val="0"/>
              <w:autoSpaceDE w:val="0"/>
              <w:autoSpaceDN w:val="0"/>
              <w:adjustRightInd w:val="0"/>
              <w:spacing w:after="240"/>
              <w:ind w:left="1134" w:hanging="1134"/>
              <w:textAlignment w:val="baseline"/>
              <w:rPr>
                <w:rFonts w:ascii="Verdana" w:hAnsi="Verdana"/>
                <w:sz w:val="20"/>
                <w:szCs w:val="20"/>
                <w:lang w:val="en-GB"/>
              </w:rPr>
            </w:pPr>
            <w:bookmarkStart w:id="1" w:name="recibido"/>
            <w:bookmarkStart w:id="2" w:name="dnum" w:colFirst="1" w:colLast="1"/>
            <w:bookmarkEnd w:id="1"/>
            <w:r w:rsidRPr="00CA57DB">
              <w:rPr>
                <w:rFonts w:ascii="Verdana" w:hAnsi="Verdana"/>
                <w:sz w:val="20"/>
                <w:szCs w:val="20"/>
                <w:lang w:val="en-GB"/>
              </w:rPr>
              <w:t>Received:</w:t>
            </w:r>
            <w:r w:rsidRPr="00CA57DB">
              <w:rPr>
                <w:rFonts w:ascii="Verdana" w:hAnsi="Verdana"/>
                <w:sz w:val="20"/>
                <w:szCs w:val="20"/>
                <w:lang w:val="en-GB"/>
              </w:rPr>
              <w:tab/>
              <w:t xml:space="preserve"> </w:t>
            </w:r>
            <w:r w:rsidR="0016596D">
              <w:rPr>
                <w:rFonts w:ascii="Verdana" w:hAnsi="Verdana"/>
                <w:sz w:val="20"/>
                <w:szCs w:val="20"/>
                <w:lang w:val="en-GB"/>
              </w:rPr>
              <w:t>22 March</w:t>
            </w:r>
            <w:r w:rsidR="00E01243">
              <w:rPr>
                <w:rFonts w:ascii="Verdana" w:hAnsi="Verdana"/>
                <w:sz w:val="20"/>
                <w:szCs w:val="20"/>
                <w:lang w:val="en-GB"/>
              </w:rPr>
              <w:t xml:space="preserve"> 2024</w:t>
            </w:r>
          </w:p>
          <w:p w14:paraId="27BE11C3" w14:textId="6EC8B775" w:rsidR="00CA57DB" w:rsidRPr="00CA57DB" w:rsidRDefault="00CA57DB" w:rsidP="00CA57DB">
            <w:pPr>
              <w:shd w:val="solid" w:color="FFFFFF" w:fill="FFFFFF"/>
              <w:overflowPunct w:val="0"/>
              <w:autoSpaceDE w:val="0"/>
              <w:autoSpaceDN w:val="0"/>
              <w:adjustRightInd w:val="0"/>
              <w:spacing w:after="240"/>
              <w:ind w:left="1134" w:hanging="1134"/>
              <w:textAlignment w:val="baseline"/>
              <w:rPr>
                <w:rFonts w:ascii="Verdana" w:hAnsi="Verdana"/>
                <w:sz w:val="20"/>
                <w:szCs w:val="20"/>
                <w:lang w:val="en-GB"/>
              </w:rPr>
            </w:pPr>
            <w:r w:rsidRPr="00CA57DB">
              <w:rPr>
                <w:rFonts w:ascii="Verdana" w:hAnsi="Verdana"/>
                <w:sz w:val="20"/>
                <w:szCs w:val="20"/>
                <w:lang w:val="en-GB"/>
              </w:rPr>
              <w:t>Subject:</w:t>
            </w:r>
            <w:r w:rsidRPr="00CA57DB">
              <w:rPr>
                <w:rFonts w:ascii="Verdana" w:hAnsi="Verdana"/>
                <w:sz w:val="20"/>
                <w:szCs w:val="20"/>
                <w:lang w:val="en-GB"/>
              </w:rPr>
              <w:tab/>
            </w:r>
            <w:r>
              <w:rPr>
                <w:rFonts w:ascii="Verdana" w:hAnsi="Verdana"/>
                <w:sz w:val="20"/>
                <w:szCs w:val="20"/>
                <w:lang w:val="en-GB"/>
              </w:rPr>
              <w:t xml:space="preserve">WRC-27 Agenda Item 1.12; Resolution </w:t>
            </w:r>
            <w:r w:rsidR="00E01243">
              <w:rPr>
                <w:rFonts w:ascii="Verdana" w:hAnsi="Verdana"/>
                <w:sz w:val="20"/>
                <w:szCs w:val="20"/>
                <w:lang w:val="en-GB"/>
              </w:rPr>
              <w:t>252</w:t>
            </w:r>
          </w:p>
        </w:tc>
        <w:tc>
          <w:tcPr>
            <w:tcW w:w="3402" w:type="dxa"/>
          </w:tcPr>
          <w:p w14:paraId="41BC1EB6" w14:textId="4AF3E280" w:rsidR="00CA57DB" w:rsidRPr="00CA57DB" w:rsidRDefault="00CA57DB" w:rsidP="00CA57DB">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hAnsi="Verdana"/>
                <w:sz w:val="20"/>
                <w:szCs w:val="20"/>
                <w:lang w:val="en-GB" w:eastAsia="zh-CN"/>
              </w:rPr>
            </w:pPr>
            <w:r w:rsidRPr="00CA57DB">
              <w:rPr>
                <w:rFonts w:ascii="Verdana" w:hAnsi="Verdana"/>
                <w:b/>
                <w:sz w:val="20"/>
                <w:szCs w:val="20"/>
                <w:lang w:val="en-GB" w:eastAsia="zh-CN"/>
              </w:rPr>
              <w:t xml:space="preserve">Document </w:t>
            </w:r>
            <w:r w:rsidR="00E01243">
              <w:rPr>
                <w:rFonts w:ascii="Verdana" w:hAnsi="Verdana"/>
                <w:b/>
                <w:sz w:val="20"/>
                <w:szCs w:val="20"/>
                <w:lang w:val="en-GB" w:eastAsia="zh-CN"/>
              </w:rPr>
              <w:t>US4C/24/1</w:t>
            </w:r>
            <w:r w:rsidR="00285880">
              <w:rPr>
                <w:rFonts w:ascii="Verdana" w:hAnsi="Verdana"/>
                <w:b/>
                <w:sz w:val="20"/>
                <w:szCs w:val="20"/>
                <w:lang w:val="en-GB" w:eastAsia="zh-CN"/>
              </w:rPr>
              <w:t>4</w:t>
            </w:r>
            <w:r w:rsidRPr="00CA57DB">
              <w:rPr>
                <w:rFonts w:ascii="Verdana" w:hAnsi="Verdana"/>
                <w:b/>
                <w:sz w:val="20"/>
                <w:szCs w:val="20"/>
                <w:lang w:val="en-GB" w:eastAsia="zh-CN"/>
              </w:rPr>
              <w:t>-E</w:t>
            </w:r>
          </w:p>
        </w:tc>
      </w:tr>
      <w:tr w:rsidR="00CA57DB" w:rsidRPr="00CA57DB" w14:paraId="40F12365" w14:textId="77777777" w:rsidTr="00655D8A">
        <w:trPr>
          <w:cantSplit/>
        </w:trPr>
        <w:tc>
          <w:tcPr>
            <w:tcW w:w="6487" w:type="dxa"/>
            <w:vMerge/>
          </w:tcPr>
          <w:p w14:paraId="4D720299" w14:textId="77777777" w:rsidR="00CA57DB" w:rsidRPr="00CA57DB" w:rsidRDefault="00CA57DB" w:rsidP="00CA57DB">
            <w:pPr>
              <w:tabs>
                <w:tab w:val="left" w:pos="1134"/>
                <w:tab w:val="left" w:pos="1871"/>
                <w:tab w:val="left" w:pos="2268"/>
              </w:tabs>
              <w:overflowPunct w:val="0"/>
              <w:autoSpaceDE w:val="0"/>
              <w:autoSpaceDN w:val="0"/>
              <w:adjustRightInd w:val="0"/>
              <w:spacing w:before="60"/>
              <w:jc w:val="center"/>
              <w:textAlignment w:val="baseline"/>
              <w:rPr>
                <w:b/>
                <w:smallCaps/>
                <w:sz w:val="32"/>
                <w:szCs w:val="20"/>
                <w:lang w:val="en-GB" w:eastAsia="zh-CN"/>
              </w:rPr>
            </w:pPr>
            <w:bookmarkStart w:id="3" w:name="ddate" w:colFirst="1" w:colLast="1"/>
            <w:bookmarkEnd w:id="2"/>
          </w:p>
        </w:tc>
        <w:tc>
          <w:tcPr>
            <w:tcW w:w="3402" w:type="dxa"/>
          </w:tcPr>
          <w:p w14:paraId="29DA90C8" w14:textId="6FB08CCD" w:rsidR="00CA57DB" w:rsidRPr="00CA57DB" w:rsidRDefault="0016596D" w:rsidP="00CA57DB">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hAnsi="Verdana"/>
                <w:sz w:val="20"/>
                <w:szCs w:val="20"/>
                <w:lang w:val="en-GB" w:eastAsia="zh-CN"/>
              </w:rPr>
            </w:pPr>
            <w:r>
              <w:rPr>
                <w:rFonts w:ascii="Verdana" w:hAnsi="Verdana"/>
                <w:b/>
                <w:sz w:val="20"/>
                <w:szCs w:val="20"/>
                <w:lang w:val="en-GB" w:eastAsia="zh-CN"/>
              </w:rPr>
              <w:t>22 March</w:t>
            </w:r>
            <w:r w:rsidR="00CA57DB" w:rsidRPr="00CA57DB">
              <w:rPr>
                <w:rFonts w:ascii="Verdana" w:hAnsi="Verdana"/>
                <w:b/>
                <w:sz w:val="20"/>
                <w:szCs w:val="20"/>
                <w:lang w:val="en-GB" w:eastAsia="zh-CN"/>
              </w:rPr>
              <w:t xml:space="preserve"> </w:t>
            </w:r>
            <w:r w:rsidR="00E01243">
              <w:rPr>
                <w:rFonts w:ascii="Verdana" w:hAnsi="Verdana"/>
                <w:b/>
                <w:sz w:val="20"/>
                <w:szCs w:val="20"/>
                <w:lang w:val="en-GB" w:eastAsia="zh-CN"/>
              </w:rPr>
              <w:t>2024</w:t>
            </w:r>
          </w:p>
        </w:tc>
      </w:tr>
      <w:tr w:rsidR="00CA57DB" w:rsidRPr="00CA57DB" w14:paraId="0816E298" w14:textId="77777777" w:rsidTr="00655D8A">
        <w:trPr>
          <w:cantSplit/>
        </w:trPr>
        <w:tc>
          <w:tcPr>
            <w:tcW w:w="6487" w:type="dxa"/>
            <w:vMerge/>
          </w:tcPr>
          <w:p w14:paraId="7DE7B241" w14:textId="77777777" w:rsidR="00CA57DB" w:rsidRPr="00CA57DB" w:rsidRDefault="00CA57DB" w:rsidP="00CA57DB">
            <w:pPr>
              <w:tabs>
                <w:tab w:val="left" w:pos="1134"/>
                <w:tab w:val="left" w:pos="1871"/>
                <w:tab w:val="left" w:pos="2268"/>
              </w:tabs>
              <w:overflowPunct w:val="0"/>
              <w:autoSpaceDE w:val="0"/>
              <w:autoSpaceDN w:val="0"/>
              <w:adjustRightInd w:val="0"/>
              <w:spacing w:before="60"/>
              <w:jc w:val="center"/>
              <w:textAlignment w:val="baseline"/>
              <w:rPr>
                <w:b/>
                <w:smallCaps/>
                <w:sz w:val="32"/>
                <w:szCs w:val="20"/>
                <w:lang w:val="en-GB" w:eastAsia="zh-CN"/>
              </w:rPr>
            </w:pPr>
            <w:bookmarkStart w:id="4" w:name="dorlang" w:colFirst="1" w:colLast="1"/>
            <w:bookmarkEnd w:id="3"/>
          </w:p>
        </w:tc>
        <w:tc>
          <w:tcPr>
            <w:tcW w:w="3402" w:type="dxa"/>
          </w:tcPr>
          <w:p w14:paraId="3CAE5C47" w14:textId="77777777" w:rsidR="00CA57DB" w:rsidRPr="00CA57DB" w:rsidRDefault="00CA57DB" w:rsidP="00CA57DB">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eastAsia="SimSun" w:hAnsi="Verdana"/>
                <w:sz w:val="20"/>
                <w:szCs w:val="20"/>
                <w:lang w:val="en-GB" w:eastAsia="zh-CN"/>
              </w:rPr>
            </w:pPr>
            <w:r w:rsidRPr="00CA57DB">
              <w:rPr>
                <w:rFonts w:ascii="Verdana" w:eastAsia="SimSun" w:hAnsi="Verdana"/>
                <w:b/>
                <w:sz w:val="20"/>
                <w:szCs w:val="20"/>
                <w:lang w:val="en-GB" w:eastAsia="zh-CN"/>
              </w:rPr>
              <w:t>Original: English</w:t>
            </w:r>
          </w:p>
        </w:tc>
      </w:tr>
      <w:tr w:rsidR="00CA57DB" w:rsidRPr="00CA57DB" w14:paraId="1651B55A" w14:textId="77777777" w:rsidTr="00655D8A">
        <w:trPr>
          <w:cantSplit/>
        </w:trPr>
        <w:tc>
          <w:tcPr>
            <w:tcW w:w="9889" w:type="dxa"/>
            <w:gridSpan w:val="2"/>
          </w:tcPr>
          <w:p w14:paraId="70FF89AD" w14:textId="55B1C70F" w:rsidR="00CA57DB" w:rsidRPr="00CA57DB" w:rsidRDefault="00E01243" w:rsidP="00CA57DB">
            <w:pPr>
              <w:tabs>
                <w:tab w:val="left" w:pos="1134"/>
                <w:tab w:val="left" w:pos="1871"/>
                <w:tab w:val="left" w:pos="2268"/>
              </w:tabs>
              <w:overflowPunct w:val="0"/>
              <w:autoSpaceDE w:val="0"/>
              <w:autoSpaceDN w:val="0"/>
              <w:adjustRightInd w:val="0"/>
              <w:spacing w:before="840"/>
              <w:jc w:val="center"/>
              <w:textAlignment w:val="baseline"/>
              <w:rPr>
                <w:b/>
                <w:sz w:val="28"/>
                <w:szCs w:val="20"/>
                <w:lang w:val="en-GB" w:eastAsia="zh-CN"/>
              </w:rPr>
            </w:pPr>
            <w:bookmarkStart w:id="5" w:name="dsource" w:colFirst="0" w:colLast="0"/>
            <w:bookmarkEnd w:id="4"/>
            <w:r>
              <w:rPr>
                <w:b/>
                <w:sz w:val="28"/>
                <w:szCs w:val="20"/>
                <w:lang w:val="en-GB" w:eastAsia="zh-CN"/>
              </w:rPr>
              <w:t xml:space="preserve">United States </w:t>
            </w:r>
            <w:r w:rsidR="00EF73D4">
              <w:rPr>
                <w:b/>
                <w:sz w:val="28"/>
                <w:szCs w:val="20"/>
                <w:lang w:val="en-GB" w:eastAsia="zh-CN"/>
              </w:rPr>
              <w:t>of America</w:t>
            </w:r>
          </w:p>
        </w:tc>
      </w:tr>
      <w:tr w:rsidR="0016596D" w:rsidRPr="00CA57DB" w14:paraId="6C335A51" w14:textId="77777777" w:rsidTr="00072538">
        <w:trPr>
          <w:cantSplit/>
        </w:trPr>
        <w:tc>
          <w:tcPr>
            <w:tcW w:w="9889" w:type="dxa"/>
            <w:gridSpan w:val="2"/>
          </w:tcPr>
          <w:p w14:paraId="491CAD5B" w14:textId="77777777" w:rsidR="0016596D" w:rsidRPr="00CA57DB" w:rsidRDefault="0016596D" w:rsidP="0016596D">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bookmarkStart w:id="6" w:name="drec" w:colFirst="0" w:colLast="0"/>
            <w:bookmarkEnd w:id="5"/>
            <w:r w:rsidRPr="0069141D">
              <w:rPr>
                <w:caps/>
                <w:sz w:val="28"/>
                <w:szCs w:val="20"/>
                <w:lang w:eastAsia="zh-CN"/>
              </w:rPr>
              <w:t>Characteristics of Stations in the Mobile-Satellite Service in the 1 645.5-1 646.5 MHz Frequency Band</w:t>
            </w:r>
            <w:r>
              <w:rPr>
                <w:caps/>
                <w:sz w:val="28"/>
                <w:szCs w:val="20"/>
                <w:lang w:eastAsia="zh-CN"/>
              </w:rPr>
              <w:t xml:space="preserve"> and Adjacent Bands 1626.5-1645.5 MHz and 1646.5-1660.5 MHz</w:t>
            </w:r>
          </w:p>
        </w:tc>
      </w:tr>
      <w:tr w:rsidR="0016596D" w:rsidRPr="00CA57DB" w14:paraId="2F623416" w14:textId="77777777" w:rsidTr="00072538">
        <w:trPr>
          <w:cantSplit/>
        </w:trPr>
        <w:tc>
          <w:tcPr>
            <w:tcW w:w="9889" w:type="dxa"/>
            <w:gridSpan w:val="2"/>
          </w:tcPr>
          <w:p w14:paraId="091CC29A" w14:textId="77777777" w:rsidR="0016596D" w:rsidRPr="00CA57DB" w:rsidRDefault="0016596D" w:rsidP="0016596D">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bookmarkStart w:id="7" w:name="dtitle1" w:colFirst="0" w:colLast="0"/>
            <w:bookmarkEnd w:id="6"/>
          </w:p>
        </w:tc>
      </w:tr>
    </w:tbl>
    <w:bookmarkEnd w:id="7"/>
    <w:p w14:paraId="6574F4ED" w14:textId="77777777" w:rsidR="0016596D" w:rsidRDefault="0016596D" w:rsidP="0016596D">
      <w:r>
        <w:t xml:space="preserve">ITU-R Resolution 252 (WRC-23) calls studies to be conducted on sharing and compatibility with existing services in, among several frequency bands, the 1 645.5-1 646.5 MHz frequency band. As a result of action at WRC-23 modifying RR No. </w:t>
      </w:r>
      <w:r w:rsidRPr="00352785">
        <w:rPr>
          <w:b/>
          <w:bCs/>
        </w:rPr>
        <w:t>5.375</w:t>
      </w:r>
      <w:r>
        <w:t xml:space="preserve">, the use of the frequency band 1 645.5-1 646.5 MHz by the mobile-satellite service (Earth-to-space) and for inter-satellite links is limited to distress, urgency and safety communications, under conditions further described in Article 31, which relates to </w:t>
      </w:r>
      <w:r w:rsidRPr="00B24F9B">
        <w:t xml:space="preserve">Frequencies for the </w:t>
      </w:r>
      <w:r>
        <w:t>G</w:t>
      </w:r>
      <w:r w:rsidRPr="00B24F9B">
        <w:t xml:space="preserve">lobal </w:t>
      </w:r>
      <w:r>
        <w:t>M</w:t>
      </w:r>
      <w:r w:rsidRPr="00B24F9B">
        <w:t xml:space="preserve">aritime </w:t>
      </w:r>
      <w:r>
        <w:t>D</w:t>
      </w:r>
      <w:r w:rsidRPr="00B24F9B">
        <w:t xml:space="preserve">istress and </w:t>
      </w:r>
      <w:r>
        <w:t>S</w:t>
      </w:r>
      <w:r w:rsidRPr="00B24F9B">
        <w:t xml:space="preserve">afety </w:t>
      </w:r>
      <w:r>
        <w:t>S</w:t>
      </w:r>
      <w:r w:rsidRPr="00B24F9B">
        <w:t>ystem (GMDSS)</w:t>
      </w:r>
      <w:r>
        <w:t>.  This band is also identified in Appendix 15 (Rev.WRC-19).</w:t>
      </w:r>
    </w:p>
    <w:p w14:paraId="52E50622" w14:textId="77777777" w:rsidR="0016596D" w:rsidRDefault="0016596D" w:rsidP="0016596D"/>
    <w:p w14:paraId="37291E9E" w14:textId="77777777" w:rsidR="0016596D" w:rsidRDefault="0016596D" w:rsidP="0016596D">
      <w:r>
        <w:t xml:space="preserve">Characteristics of stations used for distress, urgency, and safety communications are found in ITU-R Recommendation M.1184-3, and are excerpted in Table 1 below. The header “C” in the table describes </w:t>
      </w:r>
      <w:r w:rsidRPr="008228D4">
        <w:t>a two-way store and forward communication system transmitting messages from ship-to-shore, shore-to-ship and ship-to-ship</w:t>
      </w:r>
      <w:r>
        <w:t>, i</w:t>
      </w:r>
      <w:r w:rsidRPr="008228D4">
        <w:t>ncluding email, SMS, telex, chart and weather updates.</w:t>
      </w:r>
      <w:r>
        <w:t xml:space="preserve"> The header “maritime” describes a higher data rate, </w:t>
      </w:r>
      <w:r w:rsidRPr="00CE0642">
        <w:t>simultaneous data and voice communication</w:t>
      </w:r>
      <w:r>
        <w:t xml:space="preserve"> link</w:t>
      </w:r>
      <w:r w:rsidRPr="00CE0642">
        <w:t xml:space="preserve"> </w:t>
      </w:r>
      <w:r>
        <w:t>utilizing</w:t>
      </w:r>
      <w:r w:rsidRPr="00CE0642">
        <w:t xml:space="preserve"> compact terminals</w:t>
      </w:r>
      <w:r>
        <w:t xml:space="preserve">. </w:t>
      </w:r>
    </w:p>
    <w:p w14:paraId="3F886C30" w14:textId="77777777" w:rsidR="0016596D" w:rsidRDefault="0016596D" w:rsidP="0016596D"/>
    <w:p w14:paraId="6FAB50A4" w14:textId="1CF9745C" w:rsidR="0016596D" w:rsidRDefault="0016596D" w:rsidP="0016596D">
      <w:r>
        <w:t xml:space="preserve">Characteristics of services in the adjacent bands, 1626.5-1645.5 MHz and 1646.5-1660.5 MHz found in ITU-R Recommendation M.1184-3 are shown in Table 2. The United </w:t>
      </w:r>
      <w:r w:rsidR="000213B7">
        <w:t>States</w:t>
      </w:r>
      <w:r>
        <w:t xml:space="preserve"> proposes that these characteristics should be taken into consideration for any protection and sharing studies to ensure no harmful interference to existing incumbent services in the adjacent frequency bands as a result of any new allocations or regulatory actions for future low-data rate non-geostationary mobile-satellite systems.  The information below should considered for inclusion in any working document developed studies under WRC-23 agenda item 1.12</w:t>
      </w:r>
    </w:p>
    <w:p w14:paraId="1A41904D" w14:textId="77777777" w:rsidR="0016596D" w:rsidRDefault="0016596D" w:rsidP="0016596D"/>
    <w:p w14:paraId="6049A307" w14:textId="77777777" w:rsidR="0016596D" w:rsidRDefault="0016596D" w:rsidP="0016596D"/>
    <w:p w14:paraId="04002135" w14:textId="77777777" w:rsidR="0016596D" w:rsidRDefault="0016596D" w:rsidP="0016596D"/>
    <w:p w14:paraId="1406A3AE" w14:textId="77777777" w:rsidR="0016596D" w:rsidRPr="008D0C4E" w:rsidRDefault="0016596D" w:rsidP="0016596D">
      <w:pPr>
        <w:pStyle w:val="TabletitleBR"/>
        <w:rPr>
          <w:b w:val="0"/>
          <w:bCs/>
        </w:rPr>
      </w:pPr>
      <w:r w:rsidRPr="008D0C4E">
        <w:rPr>
          <w:b w:val="0"/>
          <w:bCs/>
        </w:rPr>
        <w:lastRenderedPageBreak/>
        <w:t>TABLE 1</w:t>
      </w:r>
    </w:p>
    <w:p w14:paraId="5DC2113E" w14:textId="77777777" w:rsidR="0016596D" w:rsidRPr="008D0C4E" w:rsidRDefault="0016596D" w:rsidP="0016596D">
      <w:pPr>
        <w:pStyle w:val="TabletitleBR"/>
        <w:rPr>
          <w:b w:val="0"/>
          <w:bCs/>
        </w:rPr>
      </w:pPr>
      <w:r w:rsidRPr="008D0C4E">
        <w:rPr>
          <w:b w:val="0"/>
          <w:bCs/>
        </w:rPr>
        <w:t>EXCERPT OF RELEVANT CHARACTERISTICS</w:t>
      </w:r>
      <w:r>
        <w:rPr>
          <w:b w:val="0"/>
          <w:bCs/>
        </w:rPr>
        <w:t xml:space="preserve"> FOR EXISTING GSO MSS SERVICES IN THE BAND 1645.5-1646.5 MHZ</w:t>
      </w:r>
      <w:r w:rsidRPr="008D0C4E">
        <w:rPr>
          <w:b w:val="0"/>
          <w:bCs/>
        </w:rPr>
        <w:t xml:space="preserve"> FROM </w:t>
      </w:r>
    </w:p>
    <w:p w14:paraId="791C58DA" w14:textId="77777777" w:rsidR="0016596D" w:rsidRPr="008D0C4E" w:rsidRDefault="0016596D" w:rsidP="0016596D">
      <w:pPr>
        <w:pStyle w:val="TabletitleBR"/>
        <w:rPr>
          <w:b w:val="0"/>
          <w:bCs/>
        </w:rPr>
      </w:pPr>
      <w:r w:rsidRPr="008D0C4E">
        <w:rPr>
          <w:b w:val="0"/>
          <w:bCs/>
        </w:rPr>
        <w:t>RECOMMENDATION ITU-R M.1184</w:t>
      </w:r>
    </w:p>
    <w:tbl>
      <w:tblPr>
        <w:tblW w:w="6024" w:type="dxa"/>
        <w:tblInd w:w="1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63"/>
        <w:gridCol w:w="1235"/>
        <w:gridCol w:w="1398"/>
      </w:tblGrid>
      <w:tr w:rsidR="0016596D" w:rsidRPr="00981869" w14:paraId="6AB01B74" w14:textId="77777777" w:rsidTr="00072538">
        <w:trPr>
          <w:cantSplit/>
        </w:trPr>
        <w:tc>
          <w:tcPr>
            <w:tcW w:w="1932" w:type="pct"/>
            <w:vMerge w:val="restart"/>
          </w:tcPr>
          <w:p w14:paraId="4F89A186"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b/>
                <w:sz w:val="20"/>
                <w:szCs w:val="20"/>
                <w:lang w:val="fr-FR"/>
              </w:rPr>
            </w:pPr>
          </w:p>
        </w:tc>
        <w:tc>
          <w:tcPr>
            <w:tcW w:w="882" w:type="pct"/>
            <w:vMerge w:val="restart"/>
            <w:vAlign w:val="center"/>
          </w:tcPr>
          <w:p w14:paraId="6E06751B"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lang w:val="es-ES_tradnl"/>
              </w:rPr>
            </w:pPr>
            <w:r w:rsidRPr="00981869">
              <w:rPr>
                <w:b/>
                <w:sz w:val="20"/>
                <w:szCs w:val="20"/>
                <w:lang w:val="es-ES_tradnl"/>
              </w:rPr>
              <w:t>C</w:t>
            </w:r>
          </w:p>
        </w:tc>
        <w:tc>
          <w:tcPr>
            <w:tcW w:w="2185" w:type="pct"/>
            <w:gridSpan w:val="2"/>
            <w:vAlign w:val="center"/>
          </w:tcPr>
          <w:p w14:paraId="08C78E70"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lang w:val="es-ES_tradnl"/>
              </w:rPr>
            </w:pPr>
            <w:r w:rsidRPr="00981869">
              <w:rPr>
                <w:b/>
                <w:sz w:val="20"/>
                <w:szCs w:val="20"/>
                <w:lang w:val="es-ES_tradnl"/>
              </w:rPr>
              <w:t xml:space="preserve">Maritime </w:t>
            </w:r>
          </w:p>
        </w:tc>
      </w:tr>
      <w:tr w:rsidR="0016596D" w:rsidRPr="00981869" w14:paraId="057FD281" w14:textId="77777777" w:rsidTr="00072538">
        <w:trPr>
          <w:cantSplit/>
        </w:trPr>
        <w:tc>
          <w:tcPr>
            <w:tcW w:w="1932" w:type="pct"/>
            <w:vMerge/>
          </w:tcPr>
          <w:p w14:paraId="011A16E6"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b/>
                <w:sz w:val="20"/>
                <w:szCs w:val="20"/>
              </w:rPr>
            </w:pPr>
          </w:p>
        </w:tc>
        <w:tc>
          <w:tcPr>
            <w:tcW w:w="882" w:type="pct"/>
            <w:vMerge/>
          </w:tcPr>
          <w:p w14:paraId="60ED1C4A"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rPr>
            </w:pPr>
          </w:p>
        </w:tc>
        <w:tc>
          <w:tcPr>
            <w:tcW w:w="1025" w:type="pct"/>
          </w:tcPr>
          <w:p w14:paraId="03633F92"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rPr>
            </w:pPr>
            <w:r w:rsidRPr="00981869">
              <w:rPr>
                <w:b/>
                <w:sz w:val="20"/>
                <w:szCs w:val="20"/>
              </w:rPr>
              <w:t>High gain</w:t>
            </w:r>
          </w:p>
        </w:tc>
        <w:tc>
          <w:tcPr>
            <w:tcW w:w="1160" w:type="pct"/>
          </w:tcPr>
          <w:p w14:paraId="118A6636"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rPr>
            </w:pPr>
            <w:r w:rsidRPr="00981869">
              <w:rPr>
                <w:b/>
                <w:sz w:val="20"/>
                <w:szCs w:val="20"/>
              </w:rPr>
              <w:t>Low gain</w:t>
            </w:r>
          </w:p>
        </w:tc>
      </w:tr>
      <w:tr w:rsidR="0016596D" w:rsidRPr="00981869" w14:paraId="1B4E9076" w14:textId="77777777" w:rsidTr="00072538">
        <w:trPr>
          <w:cantSplit/>
        </w:trPr>
        <w:tc>
          <w:tcPr>
            <w:tcW w:w="1932" w:type="pct"/>
          </w:tcPr>
          <w:p w14:paraId="13BB4AC6"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lang w:val="fr-FR"/>
              </w:rPr>
              <w:t>Service</w:t>
            </w:r>
          </w:p>
        </w:tc>
        <w:tc>
          <w:tcPr>
            <w:tcW w:w="882" w:type="pct"/>
          </w:tcPr>
          <w:p w14:paraId="13305258"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MMSS</w:t>
            </w:r>
          </w:p>
        </w:tc>
        <w:tc>
          <w:tcPr>
            <w:tcW w:w="1025" w:type="pct"/>
          </w:tcPr>
          <w:p w14:paraId="3FD3A73A"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MMSS</w:t>
            </w:r>
          </w:p>
        </w:tc>
        <w:tc>
          <w:tcPr>
            <w:tcW w:w="1160" w:type="pct"/>
          </w:tcPr>
          <w:p w14:paraId="35C32AD2"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MMSS</w:t>
            </w:r>
          </w:p>
        </w:tc>
      </w:tr>
      <w:tr w:rsidR="0016596D" w:rsidRPr="00981869" w14:paraId="0DBE8525" w14:textId="77777777" w:rsidTr="00072538">
        <w:trPr>
          <w:cantSplit/>
        </w:trPr>
        <w:tc>
          <w:tcPr>
            <w:tcW w:w="1932" w:type="pct"/>
          </w:tcPr>
          <w:p w14:paraId="3008AE00"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lang w:val="fr-FR"/>
              </w:rPr>
            </w:pPr>
            <w:r w:rsidRPr="00981869">
              <w:rPr>
                <w:sz w:val="20"/>
                <w:szCs w:val="20"/>
                <w:lang w:val="fr-FR"/>
              </w:rPr>
              <w:t>Typical mobile station antenna gain (dBi)</w:t>
            </w:r>
          </w:p>
        </w:tc>
        <w:tc>
          <w:tcPr>
            <w:tcW w:w="882" w:type="pct"/>
          </w:tcPr>
          <w:p w14:paraId="5807F324"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0</w:t>
            </w:r>
          </w:p>
        </w:tc>
        <w:tc>
          <w:tcPr>
            <w:tcW w:w="1025" w:type="pct"/>
          </w:tcPr>
          <w:p w14:paraId="44078E4F"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16</w:t>
            </w:r>
          </w:p>
        </w:tc>
        <w:tc>
          <w:tcPr>
            <w:tcW w:w="1160" w:type="pct"/>
          </w:tcPr>
          <w:p w14:paraId="70EB4B8E"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9</w:t>
            </w:r>
          </w:p>
        </w:tc>
      </w:tr>
      <w:tr w:rsidR="0016596D" w:rsidRPr="00981869" w14:paraId="36DE2D71" w14:textId="77777777" w:rsidTr="00072538">
        <w:trPr>
          <w:cantSplit/>
        </w:trPr>
        <w:tc>
          <w:tcPr>
            <w:tcW w:w="1932" w:type="pct"/>
          </w:tcPr>
          <w:p w14:paraId="610687F9"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rPr>
            </w:pPr>
            <w:r w:rsidRPr="00981869">
              <w:rPr>
                <w:sz w:val="20"/>
                <w:szCs w:val="20"/>
              </w:rPr>
              <w:t>Antenna type (example)</w:t>
            </w:r>
          </w:p>
        </w:tc>
        <w:tc>
          <w:tcPr>
            <w:tcW w:w="882" w:type="pct"/>
          </w:tcPr>
          <w:p w14:paraId="529B49C0"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Quad helix</w:t>
            </w:r>
          </w:p>
        </w:tc>
        <w:tc>
          <w:tcPr>
            <w:tcW w:w="1025" w:type="pct"/>
          </w:tcPr>
          <w:p w14:paraId="2A6932FA"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Phased array</w:t>
            </w:r>
          </w:p>
        </w:tc>
        <w:tc>
          <w:tcPr>
            <w:tcW w:w="1160" w:type="pct"/>
          </w:tcPr>
          <w:p w14:paraId="20D56DB3"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Phased array</w:t>
            </w:r>
          </w:p>
        </w:tc>
      </w:tr>
      <w:tr w:rsidR="0016596D" w:rsidRPr="00981869" w14:paraId="0D1C7808" w14:textId="77777777" w:rsidTr="00072538">
        <w:trPr>
          <w:cantSplit/>
        </w:trPr>
        <w:tc>
          <w:tcPr>
            <w:tcW w:w="1932" w:type="pct"/>
          </w:tcPr>
          <w:p w14:paraId="0482117C"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rPr>
              <w:t>Typical antenna size</w:t>
            </w:r>
          </w:p>
        </w:tc>
        <w:tc>
          <w:tcPr>
            <w:tcW w:w="882" w:type="pct"/>
          </w:tcPr>
          <w:p w14:paraId="0CE575D3"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5 cm diameter</w:t>
            </w:r>
          </w:p>
        </w:tc>
        <w:tc>
          <w:tcPr>
            <w:tcW w:w="1025" w:type="pct"/>
          </w:tcPr>
          <w:p w14:paraId="59E5E6D5"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50 cm diameter</w:t>
            </w:r>
          </w:p>
        </w:tc>
        <w:tc>
          <w:tcPr>
            <w:tcW w:w="1160" w:type="pct"/>
          </w:tcPr>
          <w:p w14:paraId="63D568A5"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30 cm diameter</w:t>
            </w:r>
          </w:p>
        </w:tc>
      </w:tr>
      <w:tr w:rsidR="0016596D" w:rsidRPr="00981869" w14:paraId="1C8C54E4" w14:textId="77777777" w:rsidTr="00072538">
        <w:trPr>
          <w:cantSplit/>
        </w:trPr>
        <w:tc>
          <w:tcPr>
            <w:tcW w:w="1932" w:type="pct"/>
          </w:tcPr>
          <w:p w14:paraId="18358893"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rPr>
              <w:t>Mobile earth station figure of merit (</w:t>
            </w:r>
            <w:r w:rsidRPr="00981869">
              <w:rPr>
                <w:i/>
                <w:iCs/>
                <w:sz w:val="20"/>
                <w:szCs w:val="20"/>
              </w:rPr>
              <w:t>G</w:t>
            </w:r>
            <w:r w:rsidRPr="00981869">
              <w:rPr>
                <w:sz w:val="20"/>
                <w:szCs w:val="20"/>
              </w:rPr>
              <w:t>/</w:t>
            </w:r>
            <w:r w:rsidRPr="00981869">
              <w:rPr>
                <w:i/>
                <w:iCs/>
                <w:sz w:val="20"/>
                <w:szCs w:val="20"/>
              </w:rPr>
              <w:t>T</w:t>
            </w:r>
            <w:r w:rsidRPr="00981869">
              <w:rPr>
                <w:sz w:val="20"/>
                <w:szCs w:val="20"/>
              </w:rPr>
              <w:t>) (dB(K</w:t>
            </w:r>
            <w:r w:rsidRPr="00981869">
              <w:rPr>
                <w:sz w:val="20"/>
                <w:szCs w:val="20"/>
                <w:vertAlign w:val="superscript"/>
              </w:rPr>
              <w:t>–1</w:t>
            </w:r>
            <w:r w:rsidRPr="00981869">
              <w:rPr>
                <w:sz w:val="20"/>
                <w:szCs w:val="20"/>
              </w:rPr>
              <w:t>))</w:t>
            </w:r>
          </w:p>
        </w:tc>
        <w:tc>
          <w:tcPr>
            <w:tcW w:w="882" w:type="pct"/>
          </w:tcPr>
          <w:p w14:paraId="58C535AF"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−23</w:t>
            </w:r>
          </w:p>
        </w:tc>
        <w:tc>
          <w:tcPr>
            <w:tcW w:w="1025" w:type="pct"/>
          </w:tcPr>
          <w:p w14:paraId="20A962F4"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−7.5</w:t>
            </w:r>
          </w:p>
        </w:tc>
        <w:tc>
          <w:tcPr>
            <w:tcW w:w="1160" w:type="pct"/>
          </w:tcPr>
          <w:p w14:paraId="1D45DF18"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−15.5</w:t>
            </w:r>
          </w:p>
        </w:tc>
      </w:tr>
      <w:tr w:rsidR="0016596D" w:rsidRPr="00981869" w14:paraId="59C1DB2F" w14:textId="77777777" w:rsidTr="00072538">
        <w:trPr>
          <w:cantSplit/>
        </w:trPr>
        <w:tc>
          <w:tcPr>
            <w:tcW w:w="1932" w:type="pct"/>
          </w:tcPr>
          <w:p w14:paraId="4EA17902"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rPr>
              <w:t>Mobile earth station e.i.r.p./channel (dBW)</w:t>
            </w:r>
          </w:p>
        </w:tc>
        <w:tc>
          <w:tcPr>
            <w:tcW w:w="882" w:type="pct"/>
          </w:tcPr>
          <w:p w14:paraId="23AC14D3"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11</w:t>
            </w:r>
          </w:p>
        </w:tc>
        <w:tc>
          <w:tcPr>
            <w:tcW w:w="1025" w:type="pct"/>
          </w:tcPr>
          <w:p w14:paraId="1BA7A6FD"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22</w:t>
            </w:r>
          </w:p>
        </w:tc>
        <w:tc>
          <w:tcPr>
            <w:tcW w:w="1160" w:type="pct"/>
          </w:tcPr>
          <w:p w14:paraId="09BE0491"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15.1</w:t>
            </w:r>
          </w:p>
        </w:tc>
      </w:tr>
      <w:tr w:rsidR="0016596D" w:rsidRPr="00981869" w14:paraId="284AA8D0" w14:textId="77777777" w:rsidTr="00072538">
        <w:trPr>
          <w:cantSplit/>
        </w:trPr>
        <w:tc>
          <w:tcPr>
            <w:tcW w:w="1932" w:type="pct"/>
          </w:tcPr>
          <w:p w14:paraId="7D026FDD"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rPr>
              <w:t>User data rate</w:t>
            </w:r>
          </w:p>
        </w:tc>
        <w:tc>
          <w:tcPr>
            <w:tcW w:w="882" w:type="pct"/>
          </w:tcPr>
          <w:p w14:paraId="618A70A9"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600 bit/s</w:t>
            </w:r>
          </w:p>
        </w:tc>
        <w:tc>
          <w:tcPr>
            <w:tcW w:w="1025" w:type="pct"/>
          </w:tcPr>
          <w:p w14:paraId="1710FB82"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lang w:val="fr-FR"/>
              </w:rPr>
              <w:t>500 kbit/s</w:t>
            </w:r>
          </w:p>
        </w:tc>
        <w:tc>
          <w:tcPr>
            <w:tcW w:w="1160" w:type="pct"/>
          </w:tcPr>
          <w:p w14:paraId="018D643A"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lang w:val="fr-FR"/>
              </w:rPr>
              <w:t>250 kbit/s</w:t>
            </w:r>
          </w:p>
        </w:tc>
      </w:tr>
      <w:tr w:rsidR="0016596D" w:rsidRPr="00981869" w14:paraId="12BA0869" w14:textId="77777777" w:rsidTr="00072538">
        <w:trPr>
          <w:cantSplit/>
        </w:trPr>
        <w:tc>
          <w:tcPr>
            <w:tcW w:w="1932" w:type="pct"/>
          </w:tcPr>
          <w:p w14:paraId="533AFFB1"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rPr>
            </w:pPr>
            <w:r w:rsidRPr="00981869">
              <w:rPr>
                <w:sz w:val="20"/>
                <w:szCs w:val="20"/>
              </w:rPr>
              <w:t>Modulation</w:t>
            </w:r>
          </w:p>
        </w:tc>
        <w:tc>
          <w:tcPr>
            <w:tcW w:w="882" w:type="pct"/>
          </w:tcPr>
          <w:p w14:paraId="196FFD43"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BPSK</w:t>
            </w:r>
          </w:p>
        </w:tc>
        <w:tc>
          <w:tcPr>
            <w:tcW w:w="1025" w:type="pct"/>
          </w:tcPr>
          <w:p w14:paraId="7853A7F0"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16-QAM</w:t>
            </w:r>
          </w:p>
        </w:tc>
        <w:tc>
          <w:tcPr>
            <w:tcW w:w="1160" w:type="pct"/>
          </w:tcPr>
          <w:p w14:paraId="3C5E8FA9"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16-QAM</w:t>
            </w:r>
          </w:p>
        </w:tc>
      </w:tr>
      <w:tr w:rsidR="0016596D" w:rsidRPr="00981869" w14:paraId="1918C04E" w14:textId="77777777" w:rsidTr="00072538">
        <w:trPr>
          <w:cantSplit/>
        </w:trPr>
        <w:tc>
          <w:tcPr>
            <w:tcW w:w="1932" w:type="pct"/>
          </w:tcPr>
          <w:p w14:paraId="05E15899"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lang w:val="en-GB"/>
              </w:rPr>
              <w:t xml:space="preserve">Typical </w:t>
            </w:r>
            <w:r w:rsidRPr="00981869">
              <w:rPr>
                <w:i/>
                <w:iCs/>
                <w:sz w:val="20"/>
                <w:szCs w:val="20"/>
                <w:lang w:val="en-GB"/>
              </w:rPr>
              <w:t>C</w:t>
            </w:r>
            <w:r w:rsidRPr="00981869">
              <w:rPr>
                <w:sz w:val="20"/>
                <w:szCs w:val="20"/>
                <w:lang w:val="en-GB"/>
              </w:rPr>
              <w:t>/</w:t>
            </w:r>
            <w:r w:rsidRPr="00981869">
              <w:rPr>
                <w:i/>
                <w:iCs/>
                <w:sz w:val="20"/>
                <w:szCs w:val="20"/>
                <w:lang w:val="en-GB"/>
              </w:rPr>
              <w:t>N</w:t>
            </w:r>
            <w:r w:rsidRPr="00981869">
              <w:rPr>
                <w:sz w:val="20"/>
                <w:szCs w:val="20"/>
                <w:vertAlign w:val="subscript"/>
                <w:lang w:val="en-GB"/>
              </w:rPr>
              <w:t>0</w:t>
            </w:r>
            <w:r w:rsidRPr="00981869">
              <w:rPr>
                <w:position w:val="-4"/>
                <w:sz w:val="20"/>
                <w:szCs w:val="20"/>
                <w:lang w:val="en-GB"/>
              </w:rPr>
              <w:t xml:space="preserve"> </w:t>
            </w:r>
            <w:r w:rsidRPr="00981869">
              <w:rPr>
                <w:sz w:val="20"/>
                <w:szCs w:val="20"/>
                <w:lang w:val="en-GB"/>
              </w:rPr>
              <w:t>for communication channel (dB(Hz))</w:t>
            </w:r>
          </w:p>
        </w:tc>
        <w:tc>
          <w:tcPr>
            <w:tcW w:w="882" w:type="pct"/>
          </w:tcPr>
          <w:p w14:paraId="31109EC1"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32</w:t>
            </w:r>
          </w:p>
        </w:tc>
        <w:tc>
          <w:tcPr>
            <w:tcW w:w="1025" w:type="pct"/>
          </w:tcPr>
          <w:p w14:paraId="65A71C4A"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67</w:t>
            </w:r>
          </w:p>
        </w:tc>
        <w:tc>
          <w:tcPr>
            <w:tcW w:w="1160" w:type="pct"/>
          </w:tcPr>
          <w:p w14:paraId="56F53C57"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57</w:t>
            </w:r>
          </w:p>
        </w:tc>
      </w:tr>
      <w:tr w:rsidR="0016596D" w:rsidRPr="00981869" w14:paraId="0D6AE77F" w14:textId="77777777" w:rsidTr="00072538">
        <w:trPr>
          <w:cantSplit/>
        </w:trPr>
        <w:tc>
          <w:tcPr>
            <w:tcW w:w="1932" w:type="pct"/>
          </w:tcPr>
          <w:p w14:paraId="65963CFC"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lang w:val="fr-FR"/>
              </w:rPr>
            </w:pPr>
            <w:r w:rsidRPr="00981869">
              <w:rPr>
                <w:sz w:val="20"/>
                <w:szCs w:val="20"/>
                <w:lang w:val="fr-FR"/>
              </w:rPr>
              <w:t>Satellite e.i.r.p./channel (dBW)</w:t>
            </w:r>
          </w:p>
        </w:tc>
        <w:tc>
          <w:tcPr>
            <w:tcW w:w="882" w:type="pct"/>
          </w:tcPr>
          <w:p w14:paraId="4FAE88C8"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20</w:t>
            </w:r>
          </w:p>
        </w:tc>
        <w:tc>
          <w:tcPr>
            <w:tcW w:w="1025" w:type="pct"/>
          </w:tcPr>
          <w:p w14:paraId="75C23672"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40.5</w:t>
            </w:r>
          </w:p>
        </w:tc>
        <w:tc>
          <w:tcPr>
            <w:tcW w:w="1160" w:type="pct"/>
          </w:tcPr>
          <w:p w14:paraId="36AFB2CB"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40.5</w:t>
            </w:r>
          </w:p>
        </w:tc>
      </w:tr>
      <w:tr w:rsidR="0016596D" w:rsidRPr="00981869" w14:paraId="341DB0FA" w14:textId="77777777" w:rsidTr="00072538">
        <w:trPr>
          <w:cantSplit/>
        </w:trPr>
        <w:tc>
          <w:tcPr>
            <w:tcW w:w="1932" w:type="pct"/>
          </w:tcPr>
          <w:p w14:paraId="593FAD21"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rPr>
            </w:pPr>
            <w:r w:rsidRPr="00981869">
              <w:rPr>
                <w:sz w:val="20"/>
                <w:szCs w:val="20"/>
              </w:rPr>
              <w:t>Channel spacing</w:t>
            </w:r>
            <w:r w:rsidRPr="00981869">
              <w:rPr>
                <w:sz w:val="20"/>
                <w:szCs w:val="20"/>
              </w:rPr>
              <w:br/>
              <w:t>(nominal) (kHz)</w:t>
            </w:r>
          </w:p>
        </w:tc>
        <w:tc>
          <w:tcPr>
            <w:tcW w:w="882" w:type="pct"/>
          </w:tcPr>
          <w:p w14:paraId="7AE1BB74"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5</w:t>
            </w:r>
          </w:p>
        </w:tc>
        <w:tc>
          <w:tcPr>
            <w:tcW w:w="1025" w:type="pct"/>
          </w:tcPr>
          <w:p w14:paraId="40E143A2"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200</w:t>
            </w:r>
          </w:p>
        </w:tc>
        <w:tc>
          <w:tcPr>
            <w:tcW w:w="1160" w:type="pct"/>
          </w:tcPr>
          <w:p w14:paraId="1CEC664F" w14:textId="77777777" w:rsidR="0016596D" w:rsidRPr="00981869" w:rsidRDefault="0016596D" w:rsidP="0016596D">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200</w:t>
            </w:r>
          </w:p>
        </w:tc>
      </w:tr>
      <w:tr w:rsidR="0016596D" w:rsidRPr="00981869" w14:paraId="505164B2" w14:textId="77777777" w:rsidTr="00072538">
        <w:trPr>
          <w:cantSplit/>
        </w:trPr>
        <w:tc>
          <w:tcPr>
            <w:tcW w:w="1932" w:type="pct"/>
          </w:tcPr>
          <w:p w14:paraId="721B3D36" w14:textId="77777777" w:rsidR="0016596D" w:rsidRPr="00981869" w:rsidRDefault="0016596D" w:rsidP="001659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rPr>
            </w:pPr>
            <w:r w:rsidRPr="00981869">
              <w:rPr>
                <w:sz w:val="20"/>
                <w:szCs w:val="20"/>
              </w:rPr>
              <w:t>Satellite peak antenna gain</w:t>
            </w:r>
            <w:r w:rsidRPr="00981869">
              <w:rPr>
                <w:sz w:val="20"/>
                <w:szCs w:val="20"/>
                <w:vertAlign w:val="superscript"/>
              </w:rPr>
              <w:t xml:space="preserve"> (1)</w:t>
            </w:r>
            <w:r w:rsidRPr="00981869">
              <w:rPr>
                <w:sz w:val="20"/>
                <w:szCs w:val="20"/>
              </w:rPr>
              <w:t xml:space="preserve"> (dBi)</w:t>
            </w:r>
          </w:p>
        </w:tc>
        <w:tc>
          <w:tcPr>
            <w:tcW w:w="882" w:type="pct"/>
          </w:tcPr>
          <w:p w14:paraId="1A082B05" w14:textId="77777777" w:rsidR="0016596D" w:rsidRPr="00981869" w:rsidRDefault="0016596D" w:rsidP="001659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18</w:t>
            </w:r>
          </w:p>
        </w:tc>
        <w:tc>
          <w:tcPr>
            <w:tcW w:w="1025" w:type="pct"/>
          </w:tcPr>
          <w:p w14:paraId="46670F98" w14:textId="77777777" w:rsidR="0016596D" w:rsidRPr="00981869" w:rsidRDefault="0016596D" w:rsidP="001659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41</w:t>
            </w:r>
          </w:p>
        </w:tc>
        <w:tc>
          <w:tcPr>
            <w:tcW w:w="1160" w:type="pct"/>
          </w:tcPr>
          <w:p w14:paraId="7ACE1D92" w14:textId="77777777" w:rsidR="0016596D" w:rsidRPr="00981869" w:rsidRDefault="0016596D" w:rsidP="001659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41</w:t>
            </w:r>
          </w:p>
        </w:tc>
      </w:tr>
    </w:tbl>
    <w:p w14:paraId="5D90E7D7" w14:textId="77777777" w:rsidR="0016596D" w:rsidRDefault="0016596D" w:rsidP="0016596D"/>
    <w:p w14:paraId="1B1B0185" w14:textId="77777777" w:rsidR="0016596D" w:rsidRDefault="0016596D" w:rsidP="0016596D">
      <w:r>
        <w:t>Interference criteria for the mobile-satellite service are found in ITU-R Recommendation M.1183</w:t>
      </w:r>
      <w:r>
        <w:noBreakHyphen/>
        <w:t>0, which provides:</w:t>
      </w:r>
    </w:p>
    <w:p w14:paraId="7615F9B2" w14:textId="77777777" w:rsidR="0016596D" w:rsidRDefault="0016596D" w:rsidP="0016596D"/>
    <w:p w14:paraId="44190C36" w14:textId="77777777" w:rsidR="0016596D" w:rsidRDefault="0016596D" w:rsidP="0016596D">
      <w:pPr>
        <w:rPr>
          <w:i/>
          <w:iCs/>
        </w:rPr>
      </w:pPr>
      <w:r w:rsidRPr="00656B27">
        <w:rPr>
          <w:i/>
          <w:iCs/>
        </w:rPr>
        <w:t>that the maximum level of interference power in any such digital channel caused by the transmitters of another mobile-satellite network or fixed-satellite network, should not exceed for more than (100 – X)% of any month, 6% of the total noise power at the input to the demodulator which would give rise to the desired performance objectives[.]</w:t>
      </w:r>
    </w:p>
    <w:p w14:paraId="0FF658D9" w14:textId="77777777" w:rsidR="0016596D" w:rsidRDefault="0016596D" w:rsidP="0016596D">
      <w:pPr>
        <w:rPr>
          <w:i/>
          <w:iCs/>
        </w:rPr>
      </w:pPr>
    </w:p>
    <w:p w14:paraId="78BB3F84" w14:textId="77777777" w:rsidR="0016596D" w:rsidRDefault="0016596D" w:rsidP="0016596D">
      <w:r>
        <w:t>The methodology for determining performance</w:t>
      </w:r>
      <w:r w:rsidRPr="005A17BF">
        <w:t xml:space="preserve"> objectives for narrow-band channels in mobile satellite systems using geostationary satellites not forming part of the ISDN</w:t>
      </w:r>
      <w:r>
        <w:t xml:space="preserve"> is contained in ITU</w:t>
      </w:r>
      <w:r>
        <w:noBreakHyphen/>
        <w:t>R Recommendation M.1228, and other ITU-R M series recommendations may be relevant.</w:t>
      </w:r>
    </w:p>
    <w:p w14:paraId="5E1323F4" w14:textId="77777777" w:rsidR="00AB11E2" w:rsidRDefault="00AB11E2" w:rsidP="00CB3E81"/>
    <w:p w14:paraId="6EC5C52B" w14:textId="34D62D48" w:rsidR="00DA34E3" w:rsidRDefault="00AB11E2" w:rsidP="00CB3E81">
      <w:r>
        <w:t xml:space="preserve">The United States proposes that these characteristics and criteria be taken into account </w:t>
      </w:r>
      <w:r w:rsidR="00F014FD">
        <w:t xml:space="preserve">in studies for agenda item 1.12 required by </w:t>
      </w:r>
      <w:r w:rsidR="00F014FD">
        <w:rPr>
          <w:i/>
          <w:iCs/>
        </w:rPr>
        <w:t>resolves</w:t>
      </w:r>
      <w:r w:rsidR="00F014FD">
        <w:t xml:space="preserve"> 2 of ITU-R Resolution 252</w:t>
      </w:r>
    </w:p>
    <w:p w14:paraId="1793F162" w14:textId="77777777" w:rsidR="00DA34E3" w:rsidRDefault="00DA34E3">
      <w:pPr>
        <w:spacing w:after="160" w:line="259" w:lineRule="auto"/>
      </w:pPr>
      <w:r>
        <w:br w:type="page"/>
      </w:r>
    </w:p>
    <w:p w14:paraId="68955AC0" w14:textId="77777777" w:rsidR="00DA34E3" w:rsidRPr="00DA34E3" w:rsidRDefault="00DA34E3" w:rsidP="00DA34E3">
      <w:pPr>
        <w:rPr>
          <w:color w:val="000000"/>
        </w:rPr>
      </w:pPr>
      <w:r w:rsidRPr="00DA34E3">
        <w:rPr>
          <w:color w:val="000000"/>
        </w:rPr>
        <w:lastRenderedPageBreak/>
        <w:t>Iridium does not support Document 14 going forward.</w:t>
      </w:r>
    </w:p>
    <w:p w14:paraId="44C76BE4" w14:textId="77777777" w:rsidR="00DA34E3" w:rsidRPr="00DA34E3" w:rsidRDefault="00DA34E3" w:rsidP="00DA34E3">
      <w:pPr>
        <w:shd w:val="clear" w:color="auto" w:fill="FFFFFF"/>
        <w:rPr>
          <w:color w:val="000000"/>
        </w:rPr>
      </w:pPr>
    </w:p>
    <w:p w14:paraId="3182D223" w14:textId="77777777" w:rsidR="00DA34E3" w:rsidRPr="00DA34E3" w:rsidRDefault="00DA34E3" w:rsidP="00DA34E3">
      <w:pPr>
        <w:shd w:val="clear" w:color="auto" w:fill="FFFFFF"/>
        <w:rPr>
          <w:color w:val="000000"/>
        </w:rPr>
      </w:pPr>
      <w:r w:rsidRPr="00DA34E3">
        <w:rPr>
          <w:color w:val="000000"/>
        </w:rPr>
        <w:t>The IMO no longer includes 1645.5-1646.5 MHz EPIRBs in the Global Maritime Distress and Safety System (GMDSS) and has not recognized other applications of GMDSS for the band. Thus, the reference to Article 31 and associated GMDSS functions for this band is obsolete.</w:t>
      </w:r>
    </w:p>
    <w:p w14:paraId="02C4470F" w14:textId="77777777" w:rsidR="00DA34E3" w:rsidRPr="00DA34E3" w:rsidRDefault="00DA34E3" w:rsidP="00DA34E3">
      <w:pPr>
        <w:shd w:val="clear" w:color="auto" w:fill="FFFFFF"/>
        <w:rPr>
          <w:color w:val="000000"/>
        </w:rPr>
      </w:pPr>
    </w:p>
    <w:p w14:paraId="3EE6C2B9" w14:textId="77777777" w:rsidR="00DA34E3" w:rsidRPr="00DA34E3" w:rsidRDefault="00DA34E3" w:rsidP="00DA34E3">
      <w:pPr>
        <w:shd w:val="clear" w:color="auto" w:fill="FFFFFF"/>
        <w:rPr>
          <w:rFonts w:ascii="Calibri" w:eastAsia="Calibri" w:hAnsi="Calibri" w:cs="Calibri"/>
          <w:sz w:val="22"/>
          <w:szCs w:val="22"/>
        </w:rPr>
      </w:pPr>
      <w:r w:rsidRPr="00DA34E3">
        <w:rPr>
          <w:rFonts w:eastAsia="Calibri"/>
          <w:color w:val="000000"/>
        </w:rPr>
        <w:t xml:space="preserve">Additionally, though WRC-23 amendments introduced SAT-COM for this band, it is necessary to clarify that for the frequency band 1645.5-1646.5 MHz, currently SAT-COM does not fall under GMDSS operations under IMO regulations. </w:t>
      </w:r>
      <w:r w:rsidRPr="00DA34E3">
        <w:rPr>
          <w:rFonts w:eastAsia="Calibri"/>
          <w:color w:val="000000"/>
          <w:shd w:val="clear" w:color="auto" w:fill="FFFFFF"/>
        </w:rPr>
        <w:t>Effectively, through the application of Article 31, WRC-23 reserved the band for SAT-COM GMDSS under the maritime mobile-satellite service, for which currently there is no IMO support. A future WRC needs to address this unresolved regulatory contradiction.</w:t>
      </w:r>
    </w:p>
    <w:p w14:paraId="35C8F67F" w14:textId="77777777" w:rsidR="00DA34E3" w:rsidRPr="00DA34E3" w:rsidRDefault="00DA34E3" w:rsidP="00DA34E3">
      <w:pPr>
        <w:shd w:val="clear" w:color="auto" w:fill="FFFFFF"/>
        <w:rPr>
          <w:rFonts w:ascii="Calibri" w:eastAsia="Calibri" w:hAnsi="Calibri" w:cs="Calibri"/>
          <w:sz w:val="22"/>
          <w:szCs w:val="22"/>
        </w:rPr>
      </w:pPr>
    </w:p>
    <w:p w14:paraId="79A534F5" w14:textId="77777777" w:rsidR="00DA34E3" w:rsidRPr="00DA34E3" w:rsidRDefault="00DA34E3" w:rsidP="00DA34E3">
      <w:pPr>
        <w:shd w:val="clear" w:color="auto" w:fill="FFFFFF"/>
        <w:rPr>
          <w:rFonts w:ascii="Calibri" w:eastAsia="Calibri" w:hAnsi="Calibri" w:cs="Calibri"/>
          <w:sz w:val="22"/>
          <w:szCs w:val="22"/>
        </w:rPr>
      </w:pPr>
      <w:r w:rsidRPr="00DA34E3">
        <w:rPr>
          <w:rFonts w:eastAsia="Calibri"/>
          <w:color w:val="000000"/>
        </w:rPr>
        <w:t xml:space="preserve">Moreover, since there is no maritime-mobile satellite service (MMSS) allocation in the subject band, the protective measures for MMSS proposed in the document unwarranted.  Note that in Appendix 15, Table-2, the RR definiton for Article 31 SAT-COM (see image below) provides that SAT-COM is expressly under the maritime mobile-satellite service. Characteristics applied to the band must reflect current and permissible services, not those which are unsupported or non-existent. The characteristics applied to the band in Doc. US4C-14 are for a service that is not supported in the band at this time. Consequently, </w:t>
      </w:r>
      <w:r w:rsidRPr="00DA34E3">
        <w:rPr>
          <w:rFonts w:eastAsia="Calibri"/>
          <w:color w:val="0D0D0D"/>
          <w:shd w:val="clear" w:color="auto" w:fill="FFFFFF"/>
        </w:rPr>
        <w:t>protection sought for a non-existent service within this band is premature.</w:t>
      </w:r>
    </w:p>
    <w:p w14:paraId="51ED9E81" w14:textId="77777777" w:rsidR="00DA34E3" w:rsidRPr="00DA34E3" w:rsidRDefault="00DA34E3" w:rsidP="00DA34E3">
      <w:pPr>
        <w:shd w:val="clear" w:color="auto" w:fill="FFFFFF"/>
        <w:rPr>
          <w:rFonts w:ascii="Calibri" w:eastAsia="Calibri" w:hAnsi="Calibri" w:cs="Calibri"/>
          <w:sz w:val="22"/>
          <w:szCs w:val="22"/>
        </w:rPr>
      </w:pPr>
    </w:p>
    <w:p w14:paraId="23E68C50" w14:textId="77777777" w:rsidR="00DA34E3" w:rsidRPr="00DA34E3" w:rsidRDefault="00DA34E3" w:rsidP="00DA34E3">
      <w:pPr>
        <w:shd w:val="clear" w:color="auto" w:fill="FFFFFF"/>
        <w:rPr>
          <w:rFonts w:ascii="Calibri" w:eastAsia="Calibri" w:hAnsi="Calibri" w:cs="Calibri"/>
          <w:sz w:val="22"/>
          <w:szCs w:val="22"/>
        </w:rPr>
      </w:pPr>
      <w:r w:rsidRPr="00DA34E3">
        <w:rPr>
          <w:rFonts w:eastAsia="Calibri"/>
          <w:noProof/>
          <w:color w:val="0D0D0D"/>
          <w:shd w:val="clear" w:color="auto" w:fill="FFFFFF"/>
        </w:rPr>
        <w:lastRenderedPageBreak/>
        <w:drawing>
          <wp:inline distT="0" distB="0" distL="0" distR="0" wp14:anchorId="1F89E853" wp14:editId="08A28A21">
            <wp:extent cx="4267200" cy="5019675"/>
            <wp:effectExtent l="0" t="0" r="0" b="9525"/>
            <wp:docPr id="7" name="x_image_0"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_image_0" descr="A screenshot of a docume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5019675"/>
                    </a:xfrm>
                    <a:prstGeom prst="rect">
                      <a:avLst/>
                    </a:prstGeom>
                    <a:noFill/>
                    <a:ln>
                      <a:noFill/>
                    </a:ln>
                  </pic:spPr>
                </pic:pic>
              </a:graphicData>
            </a:graphic>
          </wp:inline>
        </w:drawing>
      </w:r>
    </w:p>
    <w:p w14:paraId="5EA19D8C" w14:textId="77777777" w:rsidR="00DA34E3" w:rsidRPr="00DA34E3" w:rsidRDefault="00DA34E3" w:rsidP="00DA34E3">
      <w:pPr>
        <w:shd w:val="clear" w:color="auto" w:fill="FFFFFF"/>
        <w:rPr>
          <w:rFonts w:ascii="Calibri" w:eastAsia="Calibri" w:hAnsi="Calibri" w:cs="Calibri"/>
          <w:sz w:val="22"/>
          <w:szCs w:val="22"/>
        </w:rPr>
      </w:pPr>
      <w:r w:rsidRPr="00DA34E3">
        <w:rPr>
          <w:rFonts w:eastAsia="Calibri"/>
          <w:color w:val="000000"/>
        </w:rPr>
        <w:t>Finally, in the document, you state: "Characteristics of services in the adjacent bands, 1626.5-1645.5 MHz and 1646.5-1660.5 MHz found in ITU-R Recommendation M.1184-3 are shown in Table 2." However, Table 2 is not in the document, though adjacent band MSS characteristics would be appropriate for addressing studies under Resolution 252 (WRC-23).</w:t>
      </w:r>
    </w:p>
    <w:p w14:paraId="7925DE72" w14:textId="77777777" w:rsidR="00DA34E3" w:rsidRPr="00DA34E3" w:rsidRDefault="00DA34E3" w:rsidP="00DA34E3">
      <w:pPr>
        <w:shd w:val="clear" w:color="auto" w:fill="FFFFFF"/>
        <w:rPr>
          <w:rFonts w:ascii="Calibri" w:eastAsia="Calibri" w:hAnsi="Calibri" w:cs="Calibri"/>
          <w:sz w:val="22"/>
          <w:szCs w:val="22"/>
        </w:rPr>
      </w:pPr>
    </w:p>
    <w:p w14:paraId="3CD3AC68" w14:textId="77777777" w:rsidR="00DA34E3" w:rsidRPr="00DA34E3" w:rsidRDefault="00DA34E3" w:rsidP="00DA34E3">
      <w:pPr>
        <w:shd w:val="clear" w:color="auto" w:fill="FFFFFF"/>
        <w:rPr>
          <w:rFonts w:ascii="Calibri" w:eastAsia="Calibri" w:hAnsi="Calibri" w:cs="Calibri"/>
          <w:sz w:val="22"/>
          <w:szCs w:val="22"/>
        </w:rPr>
      </w:pPr>
      <w:r w:rsidRPr="00DA34E3">
        <w:rPr>
          <w:rFonts w:eastAsia="Calibri"/>
          <w:color w:val="000000"/>
          <w:shd w:val="clear" w:color="auto" w:fill="FFFFFF"/>
        </w:rPr>
        <w:t>In light of these considerations, we maintain that the United States should not submit the proposed document.</w:t>
      </w:r>
    </w:p>
    <w:p w14:paraId="227D1D35" w14:textId="77777777" w:rsidR="00AB11E2" w:rsidRPr="00F014FD" w:rsidRDefault="00AB11E2" w:rsidP="00CB3E81"/>
    <w:sectPr w:rsidR="00AB11E2" w:rsidRPr="00F014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EEB4" w14:textId="77777777" w:rsidR="00C07FCF" w:rsidRDefault="00C07FCF" w:rsidP="00D73705">
      <w:r>
        <w:separator/>
      </w:r>
    </w:p>
  </w:endnote>
  <w:endnote w:type="continuationSeparator" w:id="0">
    <w:p w14:paraId="283605F7" w14:textId="77777777" w:rsidR="00C07FCF" w:rsidRDefault="00C07FCF" w:rsidP="00D73705">
      <w:r>
        <w:continuationSeparator/>
      </w:r>
    </w:p>
  </w:endnote>
  <w:endnote w:type="continuationNotice" w:id="1">
    <w:p w14:paraId="0E26B6E2" w14:textId="77777777" w:rsidR="00C07FCF" w:rsidRDefault="00C07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EADD" w14:textId="262FAD47" w:rsidR="009A4969" w:rsidRDefault="00B56A58">
    <w:pPr>
      <w:pStyle w:val="Footer"/>
    </w:pPr>
    <w:r>
      <w:rPr>
        <w:noProof/>
      </w:rPr>
      <mc:AlternateContent>
        <mc:Choice Requires="wps">
          <w:drawing>
            <wp:anchor distT="0" distB="0" distL="0" distR="0" simplePos="0" relativeHeight="251658241" behindDoc="0" locked="0" layoutInCell="1" allowOverlap="1" wp14:anchorId="0E17475A" wp14:editId="1C42E0CC">
              <wp:simplePos x="635" y="635"/>
              <wp:positionH relativeFrom="page">
                <wp:align>left</wp:align>
              </wp:positionH>
              <wp:positionV relativeFrom="page">
                <wp:align>bottom</wp:align>
              </wp:positionV>
              <wp:extent cx="443865" cy="443865"/>
              <wp:effectExtent l="0" t="0" r="4445" b="0"/>
              <wp:wrapNone/>
              <wp:docPr id="1012848682" name="Text Box 2"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ECA61" w14:textId="37069367" w:rsidR="00B56A58" w:rsidRPr="00B56A58" w:rsidRDefault="00B56A58" w:rsidP="00B56A58">
                          <w:pPr>
                            <w:rPr>
                              <w:rFonts w:ascii="Calibri" w:eastAsia="Calibri" w:hAnsi="Calibri" w:cs="Calibri"/>
                              <w:noProof/>
                              <w:color w:val="000000"/>
                              <w:sz w:val="14"/>
                              <w:szCs w:val="14"/>
                            </w:rPr>
                          </w:pPr>
                          <w:r w:rsidRPr="00B56A58">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17475A" id="_x0000_t202" coordsize="21600,21600" o:spt="202" path="m,l,21600r21600,l21600,xe">
              <v:stroke joinstyle="miter"/>
              <v:path gradientshapeok="t" o:connecttype="rect"/>
            </v:shapetype>
            <v:shape id="Text Box 2" o:spid="_x0000_s1026" type="#_x0000_t202" alt="PUBLIC  |  © INMARSA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DDECA61" w14:textId="37069367" w:rsidR="00B56A58" w:rsidRPr="00B56A58" w:rsidRDefault="00B56A58" w:rsidP="00B56A58">
                    <w:pPr>
                      <w:rPr>
                        <w:rFonts w:ascii="Calibri" w:eastAsia="Calibri" w:hAnsi="Calibri" w:cs="Calibri"/>
                        <w:noProof/>
                        <w:color w:val="000000"/>
                        <w:sz w:val="14"/>
                        <w:szCs w:val="14"/>
                      </w:rPr>
                    </w:pPr>
                    <w:r w:rsidRPr="00B56A58">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D4CD" w14:textId="7A5589CF" w:rsidR="009A4969" w:rsidRDefault="009A4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F3B" w14:textId="5ADD00C6" w:rsidR="009A4969" w:rsidRDefault="00B56A58">
    <w:pPr>
      <w:pStyle w:val="Footer"/>
    </w:pPr>
    <w:r>
      <w:rPr>
        <w:noProof/>
      </w:rPr>
      <mc:AlternateContent>
        <mc:Choice Requires="wps">
          <w:drawing>
            <wp:anchor distT="0" distB="0" distL="0" distR="0" simplePos="0" relativeHeight="251658240" behindDoc="0" locked="0" layoutInCell="1" allowOverlap="1" wp14:anchorId="6B739F00" wp14:editId="2D59310E">
              <wp:simplePos x="635" y="635"/>
              <wp:positionH relativeFrom="page">
                <wp:align>left</wp:align>
              </wp:positionH>
              <wp:positionV relativeFrom="page">
                <wp:align>bottom</wp:align>
              </wp:positionV>
              <wp:extent cx="443865" cy="443865"/>
              <wp:effectExtent l="0" t="0" r="4445" b="0"/>
              <wp:wrapNone/>
              <wp:docPr id="878522508" name="Text Box 1"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68833" w14:textId="7F83DB33" w:rsidR="00B56A58" w:rsidRPr="00B56A58" w:rsidRDefault="00B56A58" w:rsidP="00B56A58">
                          <w:pPr>
                            <w:rPr>
                              <w:rFonts w:ascii="Calibri" w:eastAsia="Calibri" w:hAnsi="Calibri" w:cs="Calibri"/>
                              <w:noProof/>
                              <w:color w:val="000000"/>
                              <w:sz w:val="14"/>
                              <w:szCs w:val="14"/>
                            </w:rPr>
                          </w:pPr>
                          <w:r w:rsidRPr="00B56A58">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39F00" id="_x0000_t202" coordsize="21600,21600" o:spt="202" path="m,l,21600r21600,l21600,xe">
              <v:stroke joinstyle="miter"/>
              <v:path gradientshapeok="t" o:connecttype="rect"/>
            </v:shapetype>
            <v:shape id="Text Box 1" o:spid="_x0000_s1027" type="#_x0000_t202" alt="PUBLIC  |  © INMARSA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3668833" w14:textId="7F83DB33" w:rsidR="00B56A58" w:rsidRPr="00B56A58" w:rsidRDefault="00B56A58" w:rsidP="00B56A58">
                    <w:pPr>
                      <w:rPr>
                        <w:rFonts w:ascii="Calibri" w:eastAsia="Calibri" w:hAnsi="Calibri" w:cs="Calibri"/>
                        <w:noProof/>
                        <w:color w:val="000000"/>
                        <w:sz w:val="14"/>
                        <w:szCs w:val="14"/>
                      </w:rPr>
                    </w:pPr>
                    <w:r w:rsidRPr="00B56A58">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AC44" w14:textId="77777777" w:rsidR="00C07FCF" w:rsidRDefault="00C07FCF" w:rsidP="00D73705">
      <w:r>
        <w:separator/>
      </w:r>
    </w:p>
  </w:footnote>
  <w:footnote w:type="continuationSeparator" w:id="0">
    <w:p w14:paraId="379DC32C" w14:textId="77777777" w:rsidR="00C07FCF" w:rsidRDefault="00C07FCF" w:rsidP="00D73705">
      <w:r>
        <w:continuationSeparator/>
      </w:r>
    </w:p>
  </w:footnote>
  <w:footnote w:type="continuationNotice" w:id="1">
    <w:p w14:paraId="74C938F8" w14:textId="77777777" w:rsidR="00C07FCF" w:rsidRDefault="00C07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41CF" w14:textId="77777777" w:rsidR="00B56A58" w:rsidRDefault="00B56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62AA" w14:textId="77777777" w:rsidR="00B56A58" w:rsidRDefault="00B56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1DBD" w14:textId="77777777" w:rsidR="00B56A58" w:rsidRDefault="00B56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156D3"/>
    <w:rsid w:val="000213B7"/>
    <w:rsid w:val="00036BDF"/>
    <w:rsid w:val="000908AE"/>
    <w:rsid w:val="000B3C0D"/>
    <w:rsid w:val="00100271"/>
    <w:rsid w:val="00101BAB"/>
    <w:rsid w:val="00113B0A"/>
    <w:rsid w:val="00133A8C"/>
    <w:rsid w:val="00150284"/>
    <w:rsid w:val="0016596D"/>
    <w:rsid w:val="001871AD"/>
    <w:rsid w:val="001A20EE"/>
    <w:rsid w:val="001C056B"/>
    <w:rsid w:val="0020617D"/>
    <w:rsid w:val="00211F64"/>
    <w:rsid w:val="002227E4"/>
    <w:rsid w:val="0026793D"/>
    <w:rsid w:val="00285880"/>
    <w:rsid w:val="002863A5"/>
    <w:rsid w:val="0030183B"/>
    <w:rsid w:val="0033069B"/>
    <w:rsid w:val="003478F9"/>
    <w:rsid w:val="00350B70"/>
    <w:rsid w:val="00352785"/>
    <w:rsid w:val="003554C2"/>
    <w:rsid w:val="003714AC"/>
    <w:rsid w:val="00377072"/>
    <w:rsid w:val="00392B01"/>
    <w:rsid w:val="00420C47"/>
    <w:rsid w:val="004226B8"/>
    <w:rsid w:val="00434A34"/>
    <w:rsid w:val="00455F59"/>
    <w:rsid w:val="0047503A"/>
    <w:rsid w:val="00485392"/>
    <w:rsid w:val="004B4890"/>
    <w:rsid w:val="005555F3"/>
    <w:rsid w:val="00556CE7"/>
    <w:rsid w:val="005621CA"/>
    <w:rsid w:val="00563DA5"/>
    <w:rsid w:val="00564244"/>
    <w:rsid w:val="005738B8"/>
    <w:rsid w:val="005A0B13"/>
    <w:rsid w:val="005A17BF"/>
    <w:rsid w:val="005C204A"/>
    <w:rsid w:val="00605299"/>
    <w:rsid w:val="00620963"/>
    <w:rsid w:val="00637C49"/>
    <w:rsid w:val="00647895"/>
    <w:rsid w:val="00656B27"/>
    <w:rsid w:val="0069141D"/>
    <w:rsid w:val="006C2B25"/>
    <w:rsid w:val="00731F24"/>
    <w:rsid w:val="007364A5"/>
    <w:rsid w:val="00736A3C"/>
    <w:rsid w:val="00751A93"/>
    <w:rsid w:val="00790A03"/>
    <w:rsid w:val="007D47E9"/>
    <w:rsid w:val="00800A7F"/>
    <w:rsid w:val="0082046C"/>
    <w:rsid w:val="008228D4"/>
    <w:rsid w:val="00870D8C"/>
    <w:rsid w:val="008767D8"/>
    <w:rsid w:val="00886CB7"/>
    <w:rsid w:val="008A7515"/>
    <w:rsid w:val="008B64BE"/>
    <w:rsid w:val="008D0C4E"/>
    <w:rsid w:val="009100D9"/>
    <w:rsid w:val="009645A9"/>
    <w:rsid w:val="00981869"/>
    <w:rsid w:val="00992452"/>
    <w:rsid w:val="009A4969"/>
    <w:rsid w:val="009A7647"/>
    <w:rsid w:val="009C195F"/>
    <w:rsid w:val="009E5CE2"/>
    <w:rsid w:val="00A061A5"/>
    <w:rsid w:val="00A066B5"/>
    <w:rsid w:val="00A179A6"/>
    <w:rsid w:val="00A33DA7"/>
    <w:rsid w:val="00A82FDC"/>
    <w:rsid w:val="00A9189F"/>
    <w:rsid w:val="00AB11E2"/>
    <w:rsid w:val="00AD3818"/>
    <w:rsid w:val="00AE5830"/>
    <w:rsid w:val="00B069A9"/>
    <w:rsid w:val="00B17ADE"/>
    <w:rsid w:val="00B55170"/>
    <w:rsid w:val="00B56A58"/>
    <w:rsid w:val="00B61082"/>
    <w:rsid w:val="00B81383"/>
    <w:rsid w:val="00B86973"/>
    <w:rsid w:val="00BA1466"/>
    <w:rsid w:val="00BB6FB1"/>
    <w:rsid w:val="00BC0D03"/>
    <w:rsid w:val="00BD3B56"/>
    <w:rsid w:val="00BE72B5"/>
    <w:rsid w:val="00C01580"/>
    <w:rsid w:val="00C07FCF"/>
    <w:rsid w:val="00C369AA"/>
    <w:rsid w:val="00C52078"/>
    <w:rsid w:val="00C67542"/>
    <w:rsid w:val="00C93330"/>
    <w:rsid w:val="00C948AD"/>
    <w:rsid w:val="00CA57DB"/>
    <w:rsid w:val="00CB3E81"/>
    <w:rsid w:val="00CD7EF7"/>
    <w:rsid w:val="00CE0642"/>
    <w:rsid w:val="00CF0692"/>
    <w:rsid w:val="00D1772E"/>
    <w:rsid w:val="00D73705"/>
    <w:rsid w:val="00D73EC3"/>
    <w:rsid w:val="00DA34E3"/>
    <w:rsid w:val="00DB0A53"/>
    <w:rsid w:val="00E01243"/>
    <w:rsid w:val="00E04915"/>
    <w:rsid w:val="00E23C33"/>
    <w:rsid w:val="00E265DC"/>
    <w:rsid w:val="00E55E1D"/>
    <w:rsid w:val="00EB3941"/>
    <w:rsid w:val="00EF73D4"/>
    <w:rsid w:val="00F014FD"/>
    <w:rsid w:val="00F0685D"/>
    <w:rsid w:val="00F467AC"/>
    <w:rsid w:val="00F627A4"/>
    <w:rsid w:val="00F6746F"/>
    <w:rsid w:val="00F73DAF"/>
    <w:rsid w:val="00F746AB"/>
    <w:rsid w:val="00FB063A"/>
    <w:rsid w:val="00FC2702"/>
    <w:rsid w:val="00FC6560"/>
    <w:rsid w:val="00FF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99672"/>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3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rennan.price@inmarsat.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5603bf-d331-4615-a04c-c64506795477}" enabled="1" method="Privileged" siteId="{43eba056-5ca4-4871-89ac-bdd09160ce7e}" removed="0"/>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Brennan Price</cp:lastModifiedBy>
  <cp:revision>11</cp:revision>
  <dcterms:created xsi:type="dcterms:W3CDTF">2024-03-25T17:33:00Z</dcterms:created>
  <dcterms:modified xsi:type="dcterms:W3CDTF">2024-03-27T22:31:00Z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345d308c,3c5ed82a,2de0c075</vt:lpwstr>
  </property>
  <property fmtid="{D5CDD505-2E9C-101B-9397-08002B2CF9AE}" pid="3" name="ClassificationContentMarkingFooterFontProps">
    <vt:lpwstr>#000000,7,Calibri</vt:lpwstr>
  </property>
  <property fmtid="{D5CDD505-2E9C-101B-9397-08002B2CF9AE}" pid="4" name="ClassificationContentMarkingFooterText">
    <vt:lpwstr>PUBLIC  |  © INMARSAT</vt:lpwstr>
  </property>
</Properties>
</file>