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1982551B" w:rsidR="00790A03" w:rsidRPr="00A02BF0" w:rsidRDefault="00790A03" w:rsidP="00654F3B">
            <w:pPr>
              <w:spacing w:after="120"/>
              <w:ind w:left="900" w:right="144" w:hanging="756"/>
            </w:pPr>
            <w:r w:rsidRPr="00A02BF0">
              <w:rPr>
                <w:b/>
              </w:rPr>
              <w:t>Working Party:</w:t>
            </w:r>
            <w:r w:rsidRPr="00A02BF0">
              <w:t xml:space="preserve">  ITU-R WP</w:t>
            </w:r>
            <w:r w:rsidR="00A06043">
              <w:t>5C</w:t>
            </w:r>
          </w:p>
        </w:tc>
        <w:tc>
          <w:tcPr>
            <w:tcW w:w="5409" w:type="dxa"/>
            <w:tcBorders>
              <w:right w:val="double" w:sz="6" w:space="0" w:color="auto"/>
            </w:tcBorders>
          </w:tcPr>
          <w:p w14:paraId="564891C5" w14:textId="4CBAFED4" w:rsidR="00790A03" w:rsidRPr="00A02BF0" w:rsidRDefault="00790A03" w:rsidP="00654F3B">
            <w:pPr>
              <w:spacing w:after="120"/>
              <w:ind w:left="144" w:right="144"/>
            </w:pPr>
            <w:r w:rsidRPr="00A02BF0">
              <w:rPr>
                <w:b/>
              </w:rPr>
              <w:t>Document No:</w:t>
            </w:r>
            <w:r w:rsidRPr="00A02BF0">
              <w:t xml:space="preserve">  </w:t>
            </w:r>
            <w:r w:rsidR="00F9703D">
              <w:rPr>
                <w:rStyle w:val="Heading2Char"/>
              </w:rPr>
              <w:t xml:space="preserve"> </w:t>
            </w:r>
            <w:r w:rsidR="0085716E">
              <w:rPr>
                <w:rStyle w:val="field-content"/>
              </w:rPr>
              <w:t>USWP 5C 31</w:t>
            </w:r>
            <w:r w:rsidR="00F9703D">
              <w:rPr>
                <w:rStyle w:val="field-content"/>
              </w:rPr>
              <w:t>-</w:t>
            </w:r>
            <w:r w:rsidR="0085716E">
              <w:rPr>
                <w:rStyle w:val="field-content"/>
              </w:rPr>
              <w:t>06</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6" w:history="1">
              <w:proofErr w:type="spellStart"/>
              <w:r w:rsidR="006036CB" w:rsidRPr="006036CB">
                <w:rPr>
                  <w:rStyle w:val="Hyperlink"/>
                </w:rPr>
                <w:t>Prov.Fin.Acts</w:t>
              </w:r>
              <w:proofErr w:type="spellEnd"/>
            </w:hyperlink>
            <w:r w:rsidR="006036CB">
              <w:t xml:space="preserve"> p. 412</w:t>
            </w:r>
          </w:p>
          <w:p w14:paraId="0E723633" w14:textId="77777777" w:rsidR="00E375EA" w:rsidRDefault="00E375EA" w:rsidP="006036CB">
            <w:pPr>
              <w:ind w:left="144" w:right="144"/>
            </w:pPr>
          </w:p>
          <w:p w14:paraId="69D7985C" w14:textId="650325D2" w:rsidR="00E375EA" w:rsidRDefault="0085716E" w:rsidP="006036CB">
            <w:pPr>
              <w:ind w:left="144" w:right="144"/>
            </w:pPr>
            <w:hyperlink r:id="rId7"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8" w:history="1">
              <w:r w:rsidR="002A63FD" w:rsidRPr="002A63FD">
                <w:rPr>
                  <w:rStyle w:val="Hyperlink"/>
                </w:rPr>
                <w:t>Document 1A/6-E</w:t>
              </w:r>
            </w:hyperlink>
          </w:p>
          <w:p w14:paraId="1D56BB9E" w14:textId="77777777" w:rsidR="00E375EA" w:rsidRDefault="00E375EA" w:rsidP="006036CB">
            <w:pPr>
              <w:ind w:left="144" w:right="144"/>
            </w:pPr>
          </w:p>
          <w:p w14:paraId="758D8F82" w14:textId="77777777" w:rsidR="00E375EA" w:rsidRDefault="00E375EA" w:rsidP="006036CB">
            <w:pPr>
              <w:ind w:left="144" w:right="144"/>
            </w:pPr>
          </w:p>
          <w:p w14:paraId="570484EA" w14:textId="77777777" w:rsidR="006036CB" w:rsidRPr="00A02BF0" w:rsidRDefault="006036CB" w:rsidP="006036CB">
            <w:pPr>
              <w:ind w:left="144" w:right="144"/>
            </w:pPr>
          </w:p>
          <w:p w14:paraId="441D8967" w14:textId="5B065445" w:rsidR="00B32241" w:rsidRPr="00A02BF0" w:rsidRDefault="00B32241" w:rsidP="009B3075">
            <w:pPr>
              <w:ind w:right="144"/>
            </w:pPr>
          </w:p>
        </w:tc>
        <w:tc>
          <w:tcPr>
            <w:tcW w:w="5409" w:type="dxa"/>
            <w:tcBorders>
              <w:right w:val="double" w:sz="6" w:space="0" w:color="auto"/>
            </w:tcBorders>
          </w:tcPr>
          <w:p w14:paraId="3C2D0B8F" w14:textId="3807AD2C" w:rsidR="00790A03" w:rsidRPr="00A02BF0" w:rsidRDefault="00790A03" w:rsidP="006D17BF">
            <w:pPr>
              <w:tabs>
                <w:tab w:val="left" w:pos="162"/>
              </w:tabs>
              <w:ind w:left="612" w:right="144" w:hanging="468"/>
            </w:pPr>
            <w:r w:rsidRPr="00A02BF0">
              <w:rPr>
                <w:b/>
              </w:rPr>
              <w:t>Date</w:t>
            </w:r>
            <w:r w:rsidR="00A06043">
              <w:rPr>
                <w:b/>
              </w:rPr>
              <w:t xml:space="preserve"> 10 July 2024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6861D156" w:rsidR="00790A03" w:rsidRDefault="00790A03" w:rsidP="00790A03">
            <w:pPr>
              <w:pStyle w:val="Heading2"/>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report on approaches to spectrum sharing and burden sharing in 71-275 GHz</w:t>
            </w:r>
            <w:r w:rsidR="00A06043">
              <w:rPr>
                <w:b w:val="0"/>
                <w:lang w:eastAsia="zh-CN"/>
              </w:rPr>
              <w:t xml:space="preserve"> pursuant to </w:t>
            </w:r>
            <w:proofErr w:type="spellStart"/>
            <w:r w:rsidR="00A06043">
              <w:rPr>
                <w:b w:val="0"/>
                <w:lang w:eastAsia="zh-CN"/>
              </w:rPr>
              <w:t>Resoluation</w:t>
            </w:r>
            <w:proofErr w:type="spellEnd"/>
            <w:r w:rsidR="00A06043">
              <w:rPr>
                <w:b w:val="0"/>
                <w:lang w:eastAsia="zh-CN"/>
              </w:rPr>
              <w:t xml:space="preserve"> 731</w:t>
            </w:r>
          </w:p>
          <w:p w14:paraId="17DCCB98" w14:textId="77777777" w:rsidR="00790A03" w:rsidRPr="00790A03" w:rsidRDefault="00790A03" w:rsidP="00790A03">
            <w:pPr>
              <w:rPr>
                <w:lang w:val="en-GB" w:eastAsia="zh-CN"/>
              </w:rPr>
            </w:pPr>
          </w:p>
        </w:tc>
      </w:tr>
      <w:tr w:rsidR="00790A03" w:rsidRPr="00A02BF0" w14:paraId="6330DE18" w14:textId="77777777" w:rsidTr="00B54F31">
        <w:trPr>
          <w:trHeight w:val="1960"/>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74919F3B" w14:textId="18744069" w:rsidR="009B3075" w:rsidRDefault="009B3075" w:rsidP="009B3075">
            <w:pPr>
              <w:ind w:right="144"/>
              <w:rPr>
                <w:bCs/>
                <w:iCs/>
              </w:rPr>
            </w:pPr>
            <w:r>
              <w:rPr>
                <w:bCs/>
                <w:iCs/>
              </w:rPr>
              <w:t xml:space="preserve">   Marcus Spectrum Solutions, LLC</w:t>
            </w:r>
          </w:p>
          <w:p w14:paraId="504CFB15" w14:textId="77777777" w:rsidR="00790A03" w:rsidRDefault="00790A03" w:rsidP="00B54F31">
            <w:pPr>
              <w:ind w:left="144" w:right="144"/>
              <w:rPr>
                <w:bCs/>
                <w:iCs/>
              </w:rPr>
            </w:pPr>
          </w:p>
          <w:p w14:paraId="668510D6" w14:textId="77777777" w:rsidR="00790A03" w:rsidRDefault="00790A03" w:rsidP="00B54F31">
            <w:pPr>
              <w:ind w:left="144" w:right="144"/>
              <w:rPr>
                <w:bCs/>
                <w:iCs/>
              </w:rPr>
            </w:pPr>
          </w:p>
          <w:p w14:paraId="524F4167" w14:textId="77777777" w:rsidR="00790A03" w:rsidRPr="00A02BF0" w:rsidRDefault="00790A03" w:rsidP="00B54F31">
            <w:pPr>
              <w:ind w:left="144" w:right="144"/>
              <w:rPr>
                <w:bCs/>
                <w:iCs/>
              </w:rPr>
            </w:pPr>
            <w:r w:rsidRPr="00A02BF0">
              <w:rPr>
                <w:bCs/>
                <w:iCs/>
              </w:rPr>
              <w:br/>
            </w:r>
          </w:p>
        </w:tc>
        <w:tc>
          <w:tcPr>
            <w:tcW w:w="5409" w:type="dxa"/>
            <w:tcBorders>
              <w:right w:val="double" w:sz="6" w:space="0" w:color="auto"/>
            </w:tcBorders>
          </w:tcPr>
          <w:p w14:paraId="458CE176" w14:textId="77777777" w:rsidR="00790A03" w:rsidRDefault="00790A03" w:rsidP="00B54F31">
            <w:pPr>
              <w:ind w:right="144"/>
              <w:rPr>
                <w:b/>
                <w:bCs/>
              </w:rPr>
            </w:pPr>
          </w:p>
          <w:p w14:paraId="48B24BED" w14:textId="29F3162C" w:rsidR="00790A03" w:rsidRDefault="00790A03" w:rsidP="00B54F31">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r w:rsidRPr="00A02BF0">
              <w:rPr>
                <w:bCs/>
              </w:rPr>
              <w:br/>
            </w:r>
          </w:p>
          <w:p w14:paraId="53233DE9" w14:textId="77777777" w:rsidR="00790A03" w:rsidRDefault="00790A03" w:rsidP="00790A03">
            <w:pPr>
              <w:ind w:right="144"/>
              <w:rPr>
                <w:bCs/>
              </w:rPr>
            </w:pPr>
          </w:p>
          <w:p w14:paraId="0A0B00F8" w14:textId="5EECFAAE" w:rsidR="00790A03" w:rsidRPr="00F022CE" w:rsidRDefault="00790A03" w:rsidP="00790A03">
            <w:pPr>
              <w:ind w:right="144"/>
              <w:rPr>
                <w:bCs/>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10F52A39" w:rsidR="00A06043" w:rsidRPr="00A02BF0" w:rsidRDefault="00790A03" w:rsidP="00FE3838">
            <w:pPr>
              <w:spacing w:after="120"/>
              <w:ind w:right="144"/>
            </w:pPr>
            <w:r w:rsidRPr="00A02BF0">
              <w:rPr>
                <w:b/>
              </w:rPr>
              <w:t>Purpose/Objective:</w:t>
            </w:r>
            <w:r w:rsidR="009B3075">
              <w:rPr>
                <w:b/>
              </w:rPr>
              <w:t xml:space="preserve"> </w:t>
            </w:r>
            <w:r w:rsidR="009B3075" w:rsidRPr="008173A3">
              <w:rPr>
                <w:bCs/>
              </w:rPr>
              <w:t xml:space="preserve"> </w:t>
            </w:r>
            <w:r w:rsidR="002A63FD">
              <w:rPr>
                <w:bCs/>
              </w:rPr>
              <w:t xml:space="preserve">To develop a group of sharing approaches that can be evaluated for their potential to both provide new productive uses of spectrum as well as complying with the quantitative passive service protection goals of Res. 731 – originally proposed by USA at </w:t>
            </w:r>
            <w:r w:rsidR="00FE3838">
              <w:rPr>
                <w:bCs/>
              </w:rPr>
              <w:t>WRC-2000 as part of a group of proposals that included most of the passive allocations above 100 GHz. In order to facilitate the future considerations of WP 5A, WP 5C, WP 7C and WP 7D this document will review possible approaches approaches and their characteristics as well as list possible approaches for burden sharing</w:t>
            </w:r>
            <w:r w:rsidR="00C74A88">
              <w:rPr>
                <w:bCs/>
              </w:rPr>
              <w:t>.</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2E1EACCA" w:rsidR="00790A03" w:rsidRPr="00A02BF0" w:rsidRDefault="00790A03" w:rsidP="00FE3838">
            <w:pPr>
              <w:spacing w:after="120"/>
              <w:ind w:right="144"/>
              <w:rPr>
                <w:bCs/>
              </w:rPr>
            </w:pPr>
            <w:r w:rsidRPr="00A02BF0">
              <w:rPr>
                <w:b/>
              </w:rPr>
              <w:t>Abstract:</w:t>
            </w:r>
            <w:r w:rsidRPr="00A02BF0">
              <w:rPr>
                <w:bCs/>
              </w:rPr>
              <w:t xml:space="preserve">  </w:t>
            </w:r>
            <w:r w:rsidR="002A63FD">
              <w:rPr>
                <w:bCs/>
              </w:rPr>
              <w:t xml:space="preserve">In recent years a variety of technical approaches have been raised in the literature for possible implementation of interference-free sharing of passive bands in </w:t>
            </w:r>
            <w:r w:rsidR="00FE3838">
              <w:rPr>
                <w:bCs/>
              </w:rPr>
              <w:t>100</w:t>
            </w:r>
            <w:r w:rsidR="002A63FD">
              <w:rPr>
                <w:bCs/>
              </w:rPr>
              <w:t xml:space="preserve">-275 </w:t>
            </w:r>
            <w:proofErr w:type="spellStart"/>
            <w:r w:rsidR="002A63FD">
              <w:rPr>
                <w:bCs/>
              </w:rPr>
              <w:t>GHz</w:t>
            </w:r>
            <w:r w:rsidR="00A06043">
              <w:rPr>
                <w:bCs/>
              </w:rPr>
              <w:t>The</w:t>
            </w:r>
            <w:proofErr w:type="spellEnd"/>
            <w:r w:rsidR="00A06043">
              <w:rPr>
                <w:bCs/>
              </w:rPr>
              <w:t xml:space="preserve"> proposed document would address 1) need for Fixed Service sharing in 100-275 GHz, 2) possible sharing mechanisms, 3) possible “burden sharing” approaches under Res. 731, and 4)  feasibility of an eirp/elevation angle mask that combined with a transmitter density limit would give EESS(p) protection the exceeds the present provisions of ITU-R RS.2017 and RS.1861</w:t>
            </w:r>
          </w:p>
        </w:tc>
      </w:tr>
    </w:tbl>
    <w:p w14:paraId="1EE8101A" w14:textId="5AA90C5B" w:rsidR="00274649" w:rsidRDefault="00274649">
      <w:pPr>
        <w:spacing w:after="160" w:line="259" w:lineRule="auto"/>
      </w:pPr>
    </w:p>
    <w:p w14:paraId="1D41F5DB" w14:textId="77777777" w:rsidR="00274649" w:rsidRDefault="00274649" w:rsidP="00274649"/>
    <w:sectPr w:rsidR="002746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FB277" w14:textId="77777777" w:rsidR="00303003" w:rsidRDefault="00303003" w:rsidP="00D73705">
      <w:r>
        <w:separator/>
      </w:r>
    </w:p>
  </w:endnote>
  <w:endnote w:type="continuationSeparator" w:id="0">
    <w:p w14:paraId="07C87CF7" w14:textId="77777777" w:rsidR="00303003" w:rsidRDefault="00303003"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A1F41" w14:textId="77777777" w:rsidR="00303003" w:rsidRDefault="00303003" w:rsidP="00D73705">
      <w:r>
        <w:separator/>
      </w:r>
    </w:p>
  </w:footnote>
  <w:footnote w:type="continuationSeparator" w:id="0">
    <w:p w14:paraId="3D219891" w14:textId="77777777" w:rsidR="00303003" w:rsidRDefault="00303003"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32C84"/>
    <w:rsid w:val="00115FEB"/>
    <w:rsid w:val="00162B23"/>
    <w:rsid w:val="001700C5"/>
    <w:rsid w:val="0023362D"/>
    <w:rsid w:val="00274649"/>
    <w:rsid w:val="002A248F"/>
    <w:rsid w:val="002A63FD"/>
    <w:rsid w:val="00303003"/>
    <w:rsid w:val="0030432F"/>
    <w:rsid w:val="00377072"/>
    <w:rsid w:val="003952AC"/>
    <w:rsid w:val="00434A34"/>
    <w:rsid w:val="004A162C"/>
    <w:rsid w:val="00526863"/>
    <w:rsid w:val="005555F3"/>
    <w:rsid w:val="00574101"/>
    <w:rsid w:val="005C4F9E"/>
    <w:rsid w:val="005E7E3E"/>
    <w:rsid w:val="006036CB"/>
    <w:rsid w:val="00654F3B"/>
    <w:rsid w:val="006769D1"/>
    <w:rsid w:val="006D17BF"/>
    <w:rsid w:val="00755E68"/>
    <w:rsid w:val="00764452"/>
    <w:rsid w:val="00790A03"/>
    <w:rsid w:val="00793747"/>
    <w:rsid w:val="0085716E"/>
    <w:rsid w:val="00957E23"/>
    <w:rsid w:val="009B3075"/>
    <w:rsid w:val="009F2763"/>
    <w:rsid w:val="00A06043"/>
    <w:rsid w:val="00A30D7E"/>
    <w:rsid w:val="00A47FE8"/>
    <w:rsid w:val="00A708D0"/>
    <w:rsid w:val="00AD3A3B"/>
    <w:rsid w:val="00AF0AA9"/>
    <w:rsid w:val="00B268C9"/>
    <w:rsid w:val="00B32241"/>
    <w:rsid w:val="00BD7E0A"/>
    <w:rsid w:val="00C52078"/>
    <w:rsid w:val="00C52212"/>
    <w:rsid w:val="00C727C0"/>
    <w:rsid w:val="00C74A88"/>
    <w:rsid w:val="00CC439E"/>
    <w:rsid w:val="00D40FA3"/>
    <w:rsid w:val="00D42BCA"/>
    <w:rsid w:val="00D51913"/>
    <w:rsid w:val="00D61532"/>
    <w:rsid w:val="00D73705"/>
    <w:rsid w:val="00D94876"/>
    <w:rsid w:val="00E375EA"/>
    <w:rsid w:val="00E658D1"/>
    <w:rsid w:val="00EC14DC"/>
    <w:rsid w:val="00F71FD4"/>
    <w:rsid w:val="00F9703D"/>
    <w:rsid w:val="00FC3F23"/>
    <w:rsid w:val="00FE383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 w:type="paragraph" w:styleId="FootnoteText">
    <w:name w:val="footnote text"/>
    <w:basedOn w:val="Normal"/>
    <w:link w:val="FootnoteTextChar"/>
    <w:uiPriority w:val="99"/>
    <w:semiHidden/>
    <w:unhideWhenUsed/>
    <w:rsid w:val="0027464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74649"/>
    <w:rPr>
      <w:sz w:val="20"/>
      <w:szCs w:val="20"/>
    </w:rPr>
  </w:style>
  <w:style w:type="character" w:styleId="FootnoteReference">
    <w:name w:val="footnote reference"/>
    <w:basedOn w:val="DefaultParagraphFont"/>
    <w:uiPriority w:val="99"/>
    <w:semiHidden/>
    <w:unhideWhenUsed/>
    <w:rsid w:val="00274649"/>
    <w:rPr>
      <w:vertAlign w:val="superscript"/>
    </w:rPr>
  </w:style>
  <w:style w:type="character" w:customStyle="1" w:styleId="field-content">
    <w:name w:val="field-content"/>
    <w:basedOn w:val="DefaultParagraphFont"/>
    <w:rsid w:val="00F9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itu.int/dms_ties/itu-r/md/23/wp1a/c/R23-WP1A-C-0006!!MSW-E.docx"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dms_pub/itu-r/opb/act/R-ACT-WRC.15-2023-PDF-E.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BEL</cp:lastModifiedBy>
  <cp:revision>2</cp:revision>
  <dcterms:created xsi:type="dcterms:W3CDTF">2024-08-27T12:00:00Z</dcterms:created>
  <dcterms:modified xsi:type="dcterms:W3CDTF">2024-08-27T12:00:00Z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