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D45251" w:rsidRPr="00A02BF0" w14:paraId="597FFBBE" w14:textId="77777777" w:rsidTr="00725B2F">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47D562F3" w14:textId="77777777" w:rsidR="00D45251" w:rsidRPr="00A02BF0" w:rsidRDefault="00D45251" w:rsidP="00725B2F">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6041DB1E" w14:textId="77777777" w:rsidR="00D45251" w:rsidRPr="00A02BF0" w:rsidRDefault="00D45251" w:rsidP="00725B2F">
            <w:pPr>
              <w:pStyle w:val="TabletitleBR"/>
              <w:rPr>
                <w:spacing w:val="-3"/>
                <w:szCs w:val="24"/>
              </w:rPr>
            </w:pPr>
            <w:r w:rsidRPr="00A02BF0">
              <w:rPr>
                <w:spacing w:val="-3"/>
                <w:szCs w:val="24"/>
              </w:rPr>
              <w:t>Fact Sheet</w:t>
            </w:r>
          </w:p>
        </w:tc>
      </w:tr>
      <w:tr w:rsidR="00D45251" w:rsidRPr="00A02BF0" w14:paraId="5017106E" w14:textId="77777777" w:rsidTr="00725B2F">
        <w:trPr>
          <w:trHeight w:val="951"/>
        </w:trPr>
        <w:tc>
          <w:tcPr>
            <w:tcW w:w="3984" w:type="dxa"/>
            <w:tcBorders>
              <w:left w:val="double" w:sz="6" w:space="0" w:color="auto"/>
            </w:tcBorders>
          </w:tcPr>
          <w:p w14:paraId="1DE98CCE" w14:textId="77777777" w:rsidR="00D45251" w:rsidRPr="00A02BF0" w:rsidRDefault="00D45251" w:rsidP="00725B2F">
            <w:pPr>
              <w:spacing w:after="120"/>
              <w:ind w:left="900" w:right="144" w:hanging="756"/>
            </w:pPr>
            <w:r w:rsidRPr="00A02BF0">
              <w:rPr>
                <w:b/>
              </w:rPr>
              <w:t>Working Party:</w:t>
            </w:r>
            <w:r w:rsidRPr="00A02BF0">
              <w:t xml:space="preserve">  ITU-R WP</w:t>
            </w:r>
            <w:r>
              <w:t>5C</w:t>
            </w:r>
          </w:p>
        </w:tc>
        <w:tc>
          <w:tcPr>
            <w:tcW w:w="5409" w:type="dxa"/>
            <w:tcBorders>
              <w:right w:val="double" w:sz="6" w:space="0" w:color="auto"/>
            </w:tcBorders>
          </w:tcPr>
          <w:p w14:paraId="23CB7A14" w14:textId="77777777" w:rsidR="00D45251" w:rsidRPr="00A02BF0" w:rsidRDefault="00D45251" w:rsidP="00725B2F">
            <w:pPr>
              <w:spacing w:after="120"/>
              <w:ind w:left="144" w:right="144"/>
            </w:pPr>
            <w:r w:rsidRPr="00A02BF0">
              <w:rPr>
                <w:b/>
              </w:rPr>
              <w:t>Document No:</w:t>
            </w:r>
            <w:r w:rsidRPr="00A02BF0">
              <w:t xml:space="preserve">  </w:t>
            </w:r>
            <w:r>
              <w:rPr>
                <w:rStyle w:val="Heading2Char"/>
              </w:rPr>
              <w:t xml:space="preserve"> </w:t>
            </w:r>
            <w:r>
              <w:rPr>
                <w:rStyle w:val="field-content"/>
              </w:rPr>
              <w:t>USWP 5C 31-06</w:t>
            </w:r>
          </w:p>
        </w:tc>
      </w:tr>
      <w:tr w:rsidR="00D45251" w:rsidRPr="00A02BF0" w14:paraId="4E7EB6E0" w14:textId="77777777" w:rsidTr="00725B2F">
        <w:trPr>
          <w:trHeight w:val="378"/>
        </w:trPr>
        <w:tc>
          <w:tcPr>
            <w:tcW w:w="3984" w:type="dxa"/>
            <w:tcBorders>
              <w:left w:val="double" w:sz="6" w:space="0" w:color="auto"/>
            </w:tcBorders>
          </w:tcPr>
          <w:p w14:paraId="1FDE2A86" w14:textId="77777777" w:rsidR="00D45251" w:rsidRDefault="00D45251" w:rsidP="00725B2F">
            <w:pPr>
              <w:ind w:left="144" w:right="144"/>
            </w:pPr>
            <w:r w:rsidRPr="00A02BF0">
              <w:rPr>
                <w:b/>
              </w:rPr>
              <w:t>Ref:</w:t>
            </w:r>
            <w:r>
              <w:rPr>
                <w:b/>
              </w:rPr>
              <w:t xml:space="preserve">  </w:t>
            </w:r>
            <w:r>
              <w:t xml:space="preserve">Res. 731 (Rev. WRC-23) WRC-23 </w:t>
            </w:r>
            <w:hyperlink r:id="rId7" w:history="1">
              <w:proofErr w:type="spellStart"/>
              <w:r w:rsidRPr="006036CB">
                <w:rPr>
                  <w:rStyle w:val="Hyperlink"/>
                </w:rPr>
                <w:t>Prov.Fin.Acts</w:t>
              </w:r>
              <w:proofErr w:type="spellEnd"/>
            </w:hyperlink>
            <w:r>
              <w:t xml:space="preserve"> p. 412</w:t>
            </w:r>
          </w:p>
          <w:p w14:paraId="29121300" w14:textId="77777777" w:rsidR="00D45251" w:rsidRDefault="00D45251" w:rsidP="00725B2F">
            <w:pPr>
              <w:ind w:left="144" w:right="144"/>
            </w:pPr>
          </w:p>
          <w:p w14:paraId="356FA2F2" w14:textId="77777777" w:rsidR="00D45251" w:rsidRDefault="00D45251" w:rsidP="00725B2F">
            <w:pPr>
              <w:ind w:left="144" w:right="144"/>
            </w:pPr>
            <w:hyperlink r:id="rId8" w:history="1">
              <w:r w:rsidRPr="00E375EA">
                <w:rPr>
                  <w:rStyle w:val="Hyperlink"/>
                </w:rPr>
                <w:t>Chairs of Study Groups 1, 5 and 7</w:t>
              </w:r>
            </w:hyperlink>
            <w:r>
              <w:t>,</w:t>
            </w:r>
          </w:p>
          <w:p w14:paraId="16CADD62" w14:textId="77777777" w:rsidR="00D45251" w:rsidRDefault="00D45251" w:rsidP="00725B2F">
            <w:pPr>
              <w:ind w:left="144" w:right="144"/>
            </w:pPr>
            <w:r>
              <w:t>STUDIES UNDER RESOLUTION 731 (REV.WRC-23)</w:t>
            </w:r>
          </w:p>
          <w:p w14:paraId="7F9BA64E" w14:textId="77777777" w:rsidR="00D45251" w:rsidRDefault="00D45251" w:rsidP="00725B2F">
            <w:pPr>
              <w:ind w:left="144" w:right="144"/>
            </w:pPr>
            <w:r>
              <w:t xml:space="preserve">Consideration of sharing and adjacent-band compatibility </w:t>
            </w:r>
          </w:p>
          <w:p w14:paraId="18FB23EE" w14:textId="05C5D2D8" w:rsidR="00D45251" w:rsidRPr="00A02BF0" w:rsidRDefault="00D45251" w:rsidP="00D45251">
            <w:pPr>
              <w:ind w:left="144" w:right="144"/>
            </w:pPr>
            <w:r>
              <w:t xml:space="preserve">between passive and active services above 71 GHz.  </w:t>
            </w:r>
            <w:hyperlink r:id="rId9" w:history="1">
              <w:r w:rsidRPr="002A63FD">
                <w:rPr>
                  <w:rStyle w:val="Hyperlink"/>
                </w:rPr>
                <w:t>Document 1A/6-E</w:t>
              </w:r>
            </w:hyperlink>
          </w:p>
        </w:tc>
        <w:tc>
          <w:tcPr>
            <w:tcW w:w="5409" w:type="dxa"/>
            <w:tcBorders>
              <w:right w:val="double" w:sz="6" w:space="0" w:color="auto"/>
            </w:tcBorders>
          </w:tcPr>
          <w:p w14:paraId="759E21AC" w14:textId="77777777" w:rsidR="00D45251" w:rsidRPr="00A02BF0" w:rsidRDefault="00D45251" w:rsidP="00D45251">
            <w:pPr>
              <w:tabs>
                <w:tab w:val="left" w:pos="162"/>
              </w:tabs>
              <w:ind w:right="144"/>
            </w:pPr>
            <w:r w:rsidRPr="00A02BF0">
              <w:rPr>
                <w:b/>
              </w:rPr>
              <w:t>Date</w:t>
            </w:r>
            <w:r>
              <w:rPr>
                <w:b/>
              </w:rPr>
              <w:t xml:space="preserve"> 10 July 2024</w:t>
            </w:r>
          </w:p>
        </w:tc>
      </w:tr>
      <w:tr w:rsidR="00D45251" w:rsidRPr="00A02BF0" w14:paraId="3D9EFB5D" w14:textId="77777777" w:rsidTr="00725B2F">
        <w:trPr>
          <w:trHeight w:val="459"/>
        </w:trPr>
        <w:tc>
          <w:tcPr>
            <w:tcW w:w="9393" w:type="dxa"/>
            <w:gridSpan w:val="2"/>
            <w:tcBorders>
              <w:left w:val="double" w:sz="6" w:space="0" w:color="auto"/>
              <w:right w:val="double" w:sz="6" w:space="0" w:color="auto"/>
            </w:tcBorders>
          </w:tcPr>
          <w:p w14:paraId="6E3A7EB9" w14:textId="28EDCD22" w:rsidR="00D45251" w:rsidRDefault="00D45251" w:rsidP="00725B2F">
            <w:pPr>
              <w:pStyle w:val="Heading2"/>
              <w:rPr>
                <w:b w:val="0"/>
                <w:lang w:eastAsia="zh-CN"/>
              </w:rPr>
            </w:pPr>
            <w:r>
              <w:rPr>
                <w:bCs/>
                <w:szCs w:val="24"/>
              </w:rPr>
              <w:t xml:space="preserve">Document Title:  </w:t>
            </w:r>
            <w:r w:rsidRPr="00986DD8">
              <w:rPr>
                <w:b w:val="0"/>
                <w:lang w:eastAsia="zh-CN"/>
              </w:rPr>
              <w:t xml:space="preserve"> </w:t>
            </w:r>
            <w:r>
              <w:t xml:space="preserve"> </w:t>
            </w:r>
            <w:r w:rsidRPr="002A63FD">
              <w:rPr>
                <w:b w:val="0"/>
                <w:lang w:eastAsia="zh-CN"/>
              </w:rPr>
              <w:t xml:space="preserve">Proposal on development of the working document towards a preliminary draft </w:t>
            </w:r>
            <w:r>
              <w:rPr>
                <w:b w:val="0"/>
                <w:lang w:eastAsia="zh-CN"/>
              </w:rPr>
              <w:t>report on approaches to spectrum sharing and burden sharing in 71-275 GHz pursuant to Resolution 731</w:t>
            </w:r>
          </w:p>
          <w:p w14:paraId="551C66C2" w14:textId="77777777" w:rsidR="00D45251" w:rsidRPr="00790A03" w:rsidRDefault="00D45251" w:rsidP="00725B2F">
            <w:pPr>
              <w:rPr>
                <w:lang w:eastAsia="zh-CN"/>
              </w:rPr>
            </w:pPr>
          </w:p>
        </w:tc>
      </w:tr>
      <w:tr w:rsidR="00D45251" w:rsidRPr="00A02BF0" w14:paraId="2AD3E680" w14:textId="77777777" w:rsidTr="00725B2F">
        <w:trPr>
          <w:trHeight w:val="1960"/>
        </w:trPr>
        <w:tc>
          <w:tcPr>
            <w:tcW w:w="3984" w:type="dxa"/>
            <w:tcBorders>
              <w:left w:val="double" w:sz="6" w:space="0" w:color="auto"/>
            </w:tcBorders>
          </w:tcPr>
          <w:p w14:paraId="171E054A" w14:textId="77777777" w:rsidR="00D45251" w:rsidRPr="00A02BF0" w:rsidRDefault="00D45251" w:rsidP="00725B2F">
            <w:pPr>
              <w:ind w:left="144" w:right="144"/>
              <w:rPr>
                <w:b/>
              </w:rPr>
            </w:pPr>
            <w:r w:rsidRPr="00A02BF0">
              <w:rPr>
                <w:b/>
              </w:rPr>
              <w:t>Author(s)/Contributors(s):</w:t>
            </w:r>
          </w:p>
          <w:p w14:paraId="75BDADF0" w14:textId="77777777" w:rsidR="00D45251" w:rsidRDefault="00D45251" w:rsidP="00725B2F">
            <w:pPr>
              <w:ind w:right="144"/>
              <w:rPr>
                <w:bCs/>
                <w:iCs/>
              </w:rPr>
            </w:pPr>
            <w:r>
              <w:rPr>
                <w:bCs/>
                <w:iCs/>
              </w:rPr>
              <w:t xml:space="preserve">   Michael Marcus</w:t>
            </w:r>
          </w:p>
          <w:p w14:paraId="2EF2CC52" w14:textId="50408494" w:rsidR="00D45251" w:rsidRPr="00A02BF0" w:rsidRDefault="00D45251" w:rsidP="00D45251">
            <w:pPr>
              <w:ind w:right="144"/>
              <w:rPr>
                <w:bCs/>
                <w:iCs/>
              </w:rPr>
            </w:pPr>
            <w:r>
              <w:rPr>
                <w:bCs/>
                <w:iCs/>
              </w:rPr>
              <w:t xml:space="preserve">   Marcus Spectrum Solutions, LLC</w:t>
            </w:r>
          </w:p>
        </w:tc>
        <w:tc>
          <w:tcPr>
            <w:tcW w:w="5409" w:type="dxa"/>
            <w:tcBorders>
              <w:right w:val="double" w:sz="6" w:space="0" w:color="auto"/>
            </w:tcBorders>
          </w:tcPr>
          <w:p w14:paraId="339529FA" w14:textId="77777777" w:rsidR="00D45251" w:rsidRDefault="00D45251" w:rsidP="00725B2F">
            <w:pPr>
              <w:ind w:right="144"/>
              <w:rPr>
                <w:b/>
                <w:bCs/>
              </w:rPr>
            </w:pPr>
          </w:p>
          <w:p w14:paraId="3659B725" w14:textId="1097FF1A" w:rsidR="00D45251" w:rsidRPr="00F022CE" w:rsidRDefault="00D45251" w:rsidP="00D45251">
            <w:pPr>
              <w:ind w:right="144"/>
              <w:rPr>
                <w:bCs/>
              </w:rPr>
            </w:pPr>
            <w:r w:rsidRPr="00A02BF0">
              <w:rPr>
                <w:b/>
                <w:bCs/>
              </w:rPr>
              <w:t>Email</w:t>
            </w:r>
            <w:r>
              <w:rPr>
                <w:bCs/>
              </w:rPr>
              <w:t>:  marcus@marcus-spectrum.com</w:t>
            </w:r>
            <w:r w:rsidRPr="00A02BF0">
              <w:rPr>
                <w:bCs/>
              </w:rPr>
              <w:br/>
            </w:r>
            <w:r w:rsidRPr="00A02BF0">
              <w:rPr>
                <w:b/>
                <w:bCs/>
              </w:rPr>
              <w:t>Phone</w:t>
            </w:r>
            <w:r w:rsidRPr="00A02BF0">
              <w:rPr>
                <w:bCs/>
              </w:rPr>
              <w:t>:</w:t>
            </w:r>
            <w:r>
              <w:rPr>
                <w:bCs/>
              </w:rPr>
              <w:t xml:space="preserve">  301-229-7714</w:t>
            </w:r>
            <w:r w:rsidRPr="00A02BF0">
              <w:rPr>
                <w:bCs/>
              </w:rPr>
              <w:br/>
            </w:r>
          </w:p>
        </w:tc>
      </w:tr>
      <w:tr w:rsidR="00D45251" w:rsidRPr="00A02BF0" w14:paraId="61512254" w14:textId="77777777" w:rsidTr="00725B2F">
        <w:trPr>
          <w:trHeight w:val="541"/>
        </w:trPr>
        <w:tc>
          <w:tcPr>
            <w:tcW w:w="9393" w:type="dxa"/>
            <w:gridSpan w:val="2"/>
            <w:tcBorders>
              <w:left w:val="double" w:sz="6" w:space="0" w:color="auto"/>
              <w:right w:val="double" w:sz="6" w:space="0" w:color="auto"/>
            </w:tcBorders>
          </w:tcPr>
          <w:p w14:paraId="1E3E9119" w14:textId="77777777" w:rsidR="00D45251" w:rsidRPr="00A02BF0" w:rsidRDefault="00D45251" w:rsidP="00725B2F">
            <w:pPr>
              <w:spacing w:after="120"/>
              <w:ind w:right="144"/>
            </w:pPr>
            <w:r w:rsidRPr="00A02BF0">
              <w:rPr>
                <w:b/>
              </w:rPr>
              <w:t>Purpose/Objective:</w:t>
            </w:r>
            <w:r>
              <w:rPr>
                <w:b/>
              </w:rPr>
              <w:t xml:space="preserve"> </w:t>
            </w:r>
            <w:r w:rsidRPr="008173A3">
              <w:rPr>
                <w:bCs/>
              </w:rPr>
              <w:t xml:space="preserve"> </w:t>
            </w:r>
            <w:r>
              <w:rPr>
                <w:bCs/>
              </w:rPr>
              <w:t xml:space="preserve">To develop a group of sharing approaches that can be evaluated for their potential to both provide new productive uses of spectrum as well as complying with the quantitative passive service protection goals of Res. 731 – originally proposed by USA at WRC-2000 as part of a group of proposals that included most of the passive allocations above 100 GHz. </w:t>
            </w:r>
            <w:proofErr w:type="gramStart"/>
            <w:r>
              <w:rPr>
                <w:bCs/>
              </w:rPr>
              <w:t>In order to</w:t>
            </w:r>
            <w:proofErr w:type="gramEnd"/>
            <w:r>
              <w:rPr>
                <w:bCs/>
              </w:rPr>
              <w:t xml:space="preserve"> facilitate the future considerations of WP 5A, WP 5C, WP 7C and WP 7D this document will review possible approaches </w:t>
            </w:r>
            <w:proofErr w:type="spellStart"/>
            <w:r>
              <w:rPr>
                <w:bCs/>
              </w:rPr>
              <w:t>approaches</w:t>
            </w:r>
            <w:proofErr w:type="spellEnd"/>
            <w:r>
              <w:rPr>
                <w:bCs/>
              </w:rPr>
              <w:t xml:space="preserve"> and their characteristics as well as list possible approaches for burden sharing.</w:t>
            </w:r>
          </w:p>
        </w:tc>
      </w:tr>
      <w:tr w:rsidR="00D45251" w:rsidRPr="00A02BF0" w14:paraId="69B1351A" w14:textId="77777777" w:rsidTr="00725B2F">
        <w:trPr>
          <w:trHeight w:val="1380"/>
        </w:trPr>
        <w:tc>
          <w:tcPr>
            <w:tcW w:w="9393" w:type="dxa"/>
            <w:gridSpan w:val="2"/>
            <w:tcBorders>
              <w:left w:val="double" w:sz="6" w:space="0" w:color="auto"/>
              <w:bottom w:val="single" w:sz="12" w:space="0" w:color="auto"/>
              <w:right w:val="double" w:sz="6" w:space="0" w:color="auto"/>
            </w:tcBorders>
          </w:tcPr>
          <w:p w14:paraId="009EDDD7" w14:textId="77777777" w:rsidR="00D45251" w:rsidRPr="00A02BF0" w:rsidRDefault="00D45251" w:rsidP="00725B2F">
            <w:pPr>
              <w:spacing w:after="120"/>
              <w:ind w:right="144"/>
              <w:rPr>
                <w:bCs/>
              </w:rPr>
            </w:pPr>
            <w:r w:rsidRPr="00A02BF0">
              <w:rPr>
                <w:b/>
              </w:rPr>
              <w:t>Abstract:</w:t>
            </w:r>
            <w:r w:rsidRPr="00A02BF0">
              <w:rPr>
                <w:bCs/>
              </w:rPr>
              <w:t xml:space="preserve">  </w:t>
            </w:r>
            <w:r>
              <w:rPr>
                <w:bCs/>
              </w:rPr>
              <w:t xml:space="preserve">In recent years a variety of technical approaches have been raised in the literature for possible implementation of interference-free sharing of passive bands in 100-275 </w:t>
            </w:r>
            <w:proofErr w:type="spellStart"/>
            <w:r>
              <w:rPr>
                <w:bCs/>
              </w:rPr>
              <w:t>GHzThe</w:t>
            </w:r>
            <w:proofErr w:type="spellEnd"/>
            <w:r>
              <w:rPr>
                <w:bCs/>
              </w:rPr>
              <w:t xml:space="preserve"> proposed document would address 1) need for Fixed Service sharing in 100-275 GHz, 2) possible sharing mechanisms, 3) possible “burden sharing” approaches under Res. 731, and 4)  feasibility of an eirp/elevation angle mask that combined with a transmitter density limit would give EESS(p) protection the exceeds the present provisions of ITU-R RS.2017 and RS.1861</w:t>
            </w:r>
          </w:p>
        </w:tc>
      </w:tr>
    </w:tbl>
    <w:p w14:paraId="0A325436" w14:textId="77777777" w:rsidR="00D45251" w:rsidRDefault="00D45251">
      <w:r>
        <w:br w:type="page"/>
      </w:r>
    </w:p>
    <w:tbl>
      <w:tblPr>
        <w:tblpPr w:leftFromText="180" w:rightFromText="180" w:horzAnchor="margin" w:tblpY="-687"/>
        <w:tblW w:w="9919" w:type="dxa"/>
        <w:tblLayout w:type="fixed"/>
        <w:tblLook w:val="0000" w:firstRow="0" w:lastRow="0" w:firstColumn="0" w:lastColumn="0" w:noHBand="0" w:noVBand="0"/>
      </w:tblPr>
      <w:tblGrid>
        <w:gridCol w:w="6506"/>
        <w:gridCol w:w="3413"/>
      </w:tblGrid>
      <w:tr w:rsidR="009F6520" w14:paraId="6AB02FD9" w14:textId="77777777" w:rsidTr="00E2365F">
        <w:trPr>
          <w:cantSplit/>
          <w:trHeight w:val="1185"/>
        </w:trPr>
        <w:tc>
          <w:tcPr>
            <w:tcW w:w="6506" w:type="dxa"/>
            <w:vAlign w:val="center"/>
          </w:tcPr>
          <w:p w14:paraId="3FAB578E" w14:textId="1F653F19"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13" w:type="dxa"/>
          </w:tcPr>
          <w:p w14:paraId="2B4AABDE" w14:textId="77777777" w:rsidR="009F6520" w:rsidRDefault="008614B2" w:rsidP="008614B2">
            <w:pPr>
              <w:shd w:val="solid" w:color="FFFFFF" w:fill="FFFFFF"/>
              <w:spacing w:before="0" w:line="240" w:lineRule="atLeast"/>
            </w:pPr>
            <w:bookmarkStart w:id="0" w:name="ditulogo"/>
            <w:bookmarkEnd w:id="0"/>
            <w:r>
              <w:rPr>
                <w:noProof/>
                <w:lang w:val="en-US"/>
              </w:rPr>
              <w:drawing>
                <wp:inline distT="0" distB="0" distL="0" distR="0" wp14:anchorId="0D1C2778" wp14:editId="1E50FBE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D6E1223" w14:textId="77777777" w:rsidTr="00E2365F">
        <w:trPr>
          <w:cantSplit/>
          <w:trHeight w:val="311"/>
        </w:trPr>
        <w:tc>
          <w:tcPr>
            <w:tcW w:w="6506" w:type="dxa"/>
            <w:tcBorders>
              <w:bottom w:val="single" w:sz="12" w:space="0" w:color="auto"/>
            </w:tcBorders>
          </w:tcPr>
          <w:p w14:paraId="04288DA0"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13" w:type="dxa"/>
            <w:tcBorders>
              <w:bottom w:val="single" w:sz="12" w:space="0" w:color="auto"/>
            </w:tcBorders>
          </w:tcPr>
          <w:p w14:paraId="22CDD4E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562EFD57" w14:textId="77777777" w:rsidTr="00E2365F">
        <w:trPr>
          <w:cantSplit/>
          <w:trHeight w:val="326"/>
        </w:trPr>
        <w:tc>
          <w:tcPr>
            <w:tcW w:w="6506" w:type="dxa"/>
            <w:tcBorders>
              <w:top w:val="single" w:sz="12" w:space="0" w:color="auto"/>
            </w:tcBorders>
          </w:tcPr>
          <w:p w14:paraId="12BAAF98"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13" w:type="dxa"/>
            <w:tcBorders>
              <w:top w:val="single" w:sz="12" w:space="0" w:color="auto"/>
            </w:tcBorders>
          </w:tcPr>
          <w:p w14:paraId="1EEF1CC2" w14:textId="77777777" w:rsidR="000069D4" w:rsidRPr="00710D66" w:rsidRDefault="000069D4" w:rsidP="00A5173C">
            <w:pPr>
              <w:shd w:val="solid" w:color="FFFFFF" w:fill="FFFFFF"/>
              <w:spacing w:before="0" w:after="48" w:line="240" w:lineRule="atLeast"/>
              <w:rPr>
                <w:lang w:val="en-US"/>
              </w:rPr>
            </w:pPr>
          </w:p>
        </w:tc>
      </w:tr>
      <w:tr w:rsidR="000069D4" w14:paraId="6800E2FC" w14:textId="77777777" w:rsidTr="00E2365F">
        <w:trPr>
          <w:cantSplit/>
          <w:trHeight w:val="237"/>
        </w:trPr>
        <w:tc>
          <w:tcPr>
            <w:tcW w:w="6506" w:type="dxa"/>
            <w:vMerge w:val="restart"/>
          </w:tcPr>
          <w:p w14:paraId="63B9DBA7" w14:textId="0846BB9F" w:rsidR="000069D4" w:rsidRDefault="008614B2" w:rsidP="008614B2">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 xml:space="preserve"> </w:t>
            </w:r>
          </w:p>
          <w:p w14:paraId="6C2C88D5" w14:textId="33ED6B1C" w:rsidR="008614B2" w:rsidRPr="00982084" w:rsidRDefault="008614B2" w:rsidP="008614B2">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72133D" w:rsidRPr="009348FF">
              <w:rPr>
                <w:rFonts w:ascii="Verdana" w:hAnsi="Verdana"/>
                <w:sz w:val="20"/>
              </w:rPr>
              <w:t xml:space="preserve"> </w:t>
            </w:r>
            <w:r w:rsidR="000A1544">
              <w:rPr>
                <w:rFonts w:ascii="Verdana" w:hAnsi="Verdana"/>
                <w:sz w:val="20"/>
              </w:rPr>
              <w:t>N</w:t>
            </w:r>
            <w:r w:rsidR="00380A76">
              <w:rPr>
                <w:rFonts w:ascii="Verdana" w:hAnsi="Verdana"/>
                <w:sz w:val="20"/>
              </w:rPr>
              <w:t xml:space="preserve">ew </w:t>
            </w:r>
            <w:r w:rsidR="000A1544">
              <w:rPr>
                <w:rFonts w:ascii="Verdana" w:hAnsi="Verdana"/>
                <w:sz w:val="20"/>
              </w:rPr>
              <w:t>W</w:t>
            </w:r>
            <w:r w:rsidR="00380A76">
              <w:rPr>
                <w:rFonts w:ascii="Verdana" w:hAnsi="Verdana"/>
                <w:sz w:val="20"/>
              </w:rPr>
              <w:t xml:space="preserve">ork </w:t>
            </w:r>
            <w:r w:rsidR="000A1544">
              <w:rPr>
                <w:rFonts w:ascii="Verdana" w:hAnsi="Verdana"/>
                <w:sz w:val="20"/>
              </w:rPr>
              <w:t>T</w:t>
            </w:r>
            <w:r w:rsidR="00380A76">
              <w:rPr>
                <w:rFonts w:ascii="Verdana" w:hAnsi="Verdana"/>
                <w:sz w:val="20"/>
              </w:rPr>
              <w:t>opic</w:t>
            </w:r>
          </w:p>
        </w:tc>
        <w:tc>
          <w:tcPr>
            <w:tcW w:w="3413" w:type="dxa"/>
          </w:tcPr>
          <w:p w14:paraId="038A3431" w14:textId="4AC5D067" w:rsidR="000069D4" w:rsidRPr="008614B2" w:rsidRDefault="008614B2" w:rsidP="00A5173C">
            <w:pPr>
              <w:shd w:val="solid" w:color="FFFFFF" w:fill="FFFFFF"/>
              <w:spacing w:before="0" w:line="240" w:lineRule="atLeast"/>
              <w:rPr>
                <w:rFonts w:ascii="Verdana" w:hAnsi="Verdana"/>
                <w:sz w:val="20"/>
                <w:lang w:eastAsia="zh-CN"/>
              </w:rPr>
            </w:pPr>
            <w:proofErr w:type="gramStart"/>
            <w:r>
              <w:rPr>
                <w:rFonts w:ascii="Verdana" w:hAnsi="Verdana"/>
                <w:b/>
                <w:sz w:val="20"/>
                <w:lang w:eastAsia="zh-CN"/>
              </w:rPr>
              <w:t xml:space="preserve">Document </w:t>
            </w:r>
            <w:r w:rsidR="000A1544">
              <w:rPr>
                <w:rFonts w:ascii="Verdana" w:hAnsi="Verdana"/>
                <w:b/>
                <w:sz w:val="20"/>
                <w:lang w:eastAsia="zh-CN"/>
              </w:rPr>
              <w:t xml:space="preserve"> </w:t>
            </w:r>
            <w:r w:rsidR="000A1544">
              <w:rPr>
                <w:rFonts w:ascii="Verdana" w:hAnsi="Verdana"/>
                <w:b/>
                <w:sz w:val="20"/>
                <w:lang w:eastAsia="zh-CN"/>
              </w:rPr>
              <w:t>XX</w:t>
            </w:r>
            <w:proofErr w:type="gramEnd"/>
            <w:r w:rsidR="000A1544">
              <w:rPr>
                <w:rFonts w:ascii="Verdana" w:hAnsi="Verdana"/>
                <w:b/>
                <w:sz w:val="20"/>
                <w:lang w:eastAsia="zh-CN"/>
              </w:rPr>
              <w:t>/-E</w:t>
            </w:r>
          </w:p>
        </w:tc>
      </w:tr>
      <w:tr w:rsidR="000069D4" w14:paraId="07C2FEBD" w14:textId="77777777" w:rsidTr="00E2365F">
        <w:trPr>
          <w:cantSplit/>
          <w:trHeight w:val="237"/>
        </w:trPr>
        <w:tc>
          <w:tcPr>
            <w:tcW w:w="6506" w:type="dxa"/>
            <w:vMerge/>
          </w:tcPr>
          <w:p w14:paraId="0510DDAE" w14:textId="77777777" w:rsidR="000069D4" w:rsidRDefault="000069D4" w:rsidP="00A5173C">
            <w:pPr>
              <w:spacing w:before="60"/>
              <w:jc w:val="center"/>
              <w:rPr>
                <w:b/>
                <w:smallCaps/>
                <w:sz w:val="32"/>
                <w:lang w:eastAsia="zh-CN"/>
              </w:rPr>
            </w:pPr>
            <w:bookmarkStart w:id="3" w:name="ddate" w:colFirst="1" w:colLast="1"/>
            <w:bookmarkEnd w:id="2"/>
          </w:p>
        </w:tc>
        <w:tc>
          <w:tcPr>
            <w:tcW w:w="3413" w:type="dxa"/>
          </w:tcPr>
          <w:p w14:paraId="7315008C" w14:textId="19B16C2B" w:rsidR="000069D4" w:rsidRPr="008614B2" w:rsidRDefault="000A1544" w:rsidP="00A5173C">
            <w:pPr>
              <w:shd w:val="solid" w:color="FFFFFF" w:fill="FFFFFF"/>
              <w:spacing w:before="0" w:line="240" w:lineRule="atLeast"/>
              <w:rPr>
                <w:rFonts w:ascii="Verdana" w:hAnsi="Verdana"/>
                <w:sz w:val="20"/>
                <w:lang w:eastAsia="zh-CN"/>
              </w:rPr>
            </w:pPr>
            <w:r>
              <w:rPr>
                <w:rFonts w:ascii="Verdana" w:hAnsi="Verdana"/>
                <w:b/>
                <w:sz w:val="20"/>
                <w:lang w:eastAsia="zh-CN"/>
              </w:rPr>
              <w:t>_______</w:t>
            </w:r>
            <w:r w:rsidR="008614B2">
              <w:rPr>
                <w:rFonts w:ascii="Verdana" w:hAnsi="Verdana"/>
                <w:b/>
                <w:sz w:val="20"/>
                <w:lang w:eastAsia="zh-CN"/>
              </w:rPr>
              <w:t xml:space="preserve"> 20</w:t>
            </w:r>
            <w:r w:rsidR="0072133D">
              <w:rPr>
                <w:rFonts w:ascii="Verdana" w:hAnsi="Verdana"/>
                <w:b/>
                <w:sz w:val="20"/>
                <w:lang w:eastAsia="zh-CN"/>
              </w:rPr>
              <w:t>2</w:t>
            </w:r>
            <w:r>
              <w:rPr>
                <w:rFonts w:ascii="Verdana" w:hAnsi="Verdana"/>
                <w:b/>
                <w:sz w:val="20"/>
                <w:lang w:eastAsia="zh-CN"/>
              </w:rPr>
              <w:t>4</w:t>
            </w:r>
          </w:p>
        </w:tc>
      </w:tr>
      <w:tr w:rsidR="000069D4" w14:paraId="20EBFCDA" w14:textId="77777777" w:rsidTr="00E2365F">
        <w:trPr>
          <w:cantSplit/>
          <w:trHeight w:val="474"/>
        </w:trPr>
        <w:tc>
          <w:tcPr>
            <w:tcW w:w="6506" w:type="dxa"/>
            <w:vMerge/>
          </w:tcPr>
          <w:p w14:paraId="5EB34025" w14:textId="77777777" w:rsidR="000069D4" w:rsidRDefault="000069D4" w:rsidP="00A5173C">
            <w:pPr>
              <w:spacing w:before="60"/>
              <w:jc w:val="center"/>
              <w:rPr>
                <w:b/>
                <w:smallCaps/>
                <w:sz w:val="32"/>
                <w:lang w:eastAsia="zh-CN"/>
              </w:rPr>
            </w:pPr>
            <w:bookmarkStart w:id="4" w:name="dorlang" w:colFirst="1" w:colLast="1"/>
            <w:bookmarkEnd w:id="3"/>
          </w:p>
        </w:tc>
        <w:tc>
          <w:tcPr>
            <w:tcW w:w="3413" w:type="dxa"/>
          </w:tcPr>
          <w:p w14:paraId="1DB0C115" w14:textId="77777777" w:rsidR="000069D4" w:rsidRPr="008614B2" w:rsidRDefault="002C5E14"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Original: English</w:t>
            </w:r>
          </w:p>
        </w:tc>
      </w:tr>
      <w:tr w:rsidR="000A1544" w14:paraId="4DB0F13B" w14:textId="77777777" w:rsidTr="00033CF6">
        <w:trPr>
          <w:cantSplit/>
          <w:trHeight w:val="1156"/>
        </w:trPr>
        <w:tc>
          <w:tcPr>
            <w:tcW w:w="9919" w:type="dxa"/>
            <w:gridSpan w:val="2"/>
          </w:tcPr>
          <w:p w14:paraId="184FEFD8" w14:textId="582A4EFB" w:rsidR="000A1544" w:rsidRDefault="000A1544" w:rsidP="000A1544">
            <w:pPr>
              <w:pStyle w:val="Source"/>
              <w:rPr>
                <w:lang w:eastAsia="zh-CN"/>
              </w:rPr>
            </w:pPr>
            <w:bookmarkStart w:id="5" w:name="dsource" w:colFirst="0" w:colLast="0"/>
            <w:bookmarkEnd w:id="4"/>
            <w:r>
              <w:rPr>
                <w:lang w:eastAsia="zh-CN"/>
              </w:rPr>
              <w:t>United States of America</w:t>
            </w:r>
          </w:p>
        </w:tc>
      </w:tr>
      <w:bookmarkEnd w:id="5"/>
    </w:tbl>
    <w:p w14:paraId="09309154" w14:textId="77777777" w:rsidR="00033CF6" w:rsidRPr="00380A76" w:rsidRDefault="00033CF6">
      <w:pPr>
        <w:tabs>
          <w:tab w:val="clear" w:pos="1134"/>
          <w:tab w:val="clear" w:pos="1871"/>
          <w:tab w:val="clear" w:pos="2268"/>
        </w:tabs>
        <w:overflowPunct/>
        <w:autoSpaceDE/>
        <w:autoSpaceDN/>
        <w:adjustRightInd/>
        <w:spacing w:before="0"/>
        <w:rPr>
          <w:lang w:val="nl-NL" w:eastAsia="zh-CN"/>
        </w:rPr>
      </w:pPr>
    </w:p>
    <w:p w14:paraId="6C6ED9EC" w14:textId="03C50DB4" w:rsidR="00E2365F" w:rsidRDefault="00E2365F" w:rsidP="00E2365F">
      <w:pPr>
        <w:pStyle w:val="Title1"/>
        <w:rPr>
          <w:lang w:eastAsia="zh-CN"/>
        </w:rPr>
      </w:pPr>
      <w:r>
        <w:rPr>
          <w:lang w:eastAsia="zh-CN"/>
        </w:rPr>
        <w:t>Introduction of ITU</w:t>
      </w:r>
      <w:r w:rsidR="000A1544">
        <w:rPr>
          <w:lang w:eastAsia="zh-CN"/>
        </w:rPr>
        <w:t>-R</w:t>
      </w:r>
      <w:r>
        <w:rPr>
          <w:lang w:eastAsia="zh-CN"/>
        </w:rPr>
        <w:t xml:space="preserve"> work item or </w:t>
      </w:r>
      <w:r w:rsidR="000A1544">
        <w:rPr>
          <w:lang w:eastAsia="zh-CN"/>
        </w:rPr>
        <w:t>ACTIVE/PASSIVE sharing ABOVE 100 GHz</w:t>
      </w:r>
    </w:p>
    <w:p w14:paraId="31A0BEAB" w14:textId="77777777" w:rsidR="00D97D5E" w:rsidRDefault="00D97D5E" w:rsidP="00DD4BED">
      <w:pPr>
        <w:rPr>
          <w:b/>
          <w:bCs/>
          <w:lang w:eastAsia="zh-CN"/>
        </w:rPr>
      </w:pPr>
    </w:p>
    <w:p w14:paraId="2A5437CF" w14:textId="79D31385" w:rsidR="00E2365F" w:rsidRPr="00D97D5E" w:rsidRDefault="00D97D5E" w:rsidP="00DD4BED">
      <w:pPr>
        <w:rPr>
          <w:b/>
          <w:bCs/>
          <w:lang w:eastAsia="zh-CN"/>
        </w:rPr>
      </w:pPr>
      <w:r w:rsidRPr="00D97D5E">
        <w:rPr>
          <w:b/>
          <w:bCs/>
          <w:lang w:eastAsia="zh-CN"/>
        </w:rPr>
        <w:t>T</w:t>
      </w:r>
      <w:proofErr w:type="spellStart"/>
      <w:r w:rsidR="000A1544" w:rsidRPr="00D97D5E">
        <w:rPr>
          <w:b/>
          <w:bCs/>
          <w:lang w:val="en-US" w:eastAsia="zh-CN"/>
        </w:rPr>
        <w:t>echnical</w:t>
      </w:r>
      <w:proofErr w:type="spellEnd"/>
      <w:r w:rsidR="000A1544" w:rsidRPr="00D97D5E">
        <w:rPr>
          <w:b/>
          <w:bCs/>
          <w:lang w:val="en-US" w:eastAsia="zh-CN"/>
        </w:rPr>
        <w:t xml:space="preserve"> information for sharing studies under </w:t>
      </w:r>
      <w:r w:rsidR="000A1544" w:rsidRPr="00D97D5E">
        <w:rPr>
          <w:b/>
          <w:bCs/>
          <w:lang w:val="en-US" w:eastAsia="zh-CN"/>
        </w:rPr>
        <w:t>Res. 731 (Rev. WRC-23</w:t>
      </w:r>
      <w:r w:rsidR="00C137F8" w:rsidRPr="00D97D5E">
        <w:rPr>
          <w:b/>
          <w:bCs/>
          <w:lang w:val="en-US" w:eastAsia="zh-CN"/>
        </w:rPr>
        <w:t>)</w:t>
      </w:r>
    </w:p>
    <w:p w14:paraId="0B50DFB3" w14:textId="57676BAD" w:rsidR="00E2365F" w:rsidRDefault="00A43CF0" w:rsidP="00A43CF0">
      <w:pPr>
        <w:pStyle w:val="Heading1"/>
        <w:ind w:left="0" w:firstLine="0"/>
        <w:rPr>
          <w:lang w:eastAsia="zh-CN"/>
        </w:rPr>
      </w:pPr>
      <w:bookmarkStart w:id="6" w:name="dbreak"/>
      <w:bookmarkEnd w:id="6"/>
      <w:r>
        <w:rPr>
          <w:lang w:eastAsia="zh-CN"/>
        </w:rPr>
        <w:t>Establishing a work item in ITU</w:t>
      </w:r>
    </w:p>
    <w:p w14:paraId="2F2FFBA9" w14:textId="7BE38689" w:rsidR="005C3A6C" w:rsidRDefault="005C3A6C" w:rsidP="00A43CF0">
      <w:pPr>
        <w:rPr>
          <w:lang w:eastAsia="zh-CN"/>
        </w:rPr>
      </w:pPr>
      <w:r>
        <w:rPr>
          <w:lang w:eastAsia="zh-CN"/>
        </w:rPr>
        <w:t xml:space="preserve">ITU is requested to commence the work on this topic, with the aim to create a report and possibly a recommendation for </w:t>
      </w:r>
      <w:r w:rsidR="00D97D5E">
        <w:rPr>
          <w:lang w:eastAsia="zh-CN"/>
        </w:rPr>
        <w:t>active passive sharing in passive bands in 100-275 GHz</w:t>
      </w:r>
    </w:p>
    <w:p w14:paraId="359AA89C" w14:textId="29693DD0" w:rsidR="00A43CF0" w:rsidRDefault="00A43CF0" w:rsidP="00A43CF0">
      <w:pPr>
        <w:rPr>
          <w:lang w:eastAsia="zh-CN"/>
        </w:rPr>
      </w:pPr>
      <w:proofErr w:type="gramStart"/>
      <w:r>
        <w:rPr>
          <w:lang w:eastAsia="zh-CN"/>
        </w:rPr>
        <w:t>In order to</w:t>
      </w:r>
      <w:proofErr w:type="gramEnd"/>
      <w:r>
        <w:rPr>
          <w:lang w:eastAsia="zh-CN"/>
        </w:rPr>
        <w:t xml:space="preserve"> commence work in ITU on this topic</w:t>
      </w:r>
      <w:r w:rsidR="00BF306C">
        <w:rPr>
          <w:lang w:eastAsia="zh-CN"/>
        </w:rPr>
        <w:t xml:space="preserve">, </w:t>
      </w:r>
      <w:r>
        <w:rPr>
          <w:lang w:eastAsia="zh-CN"/>
        </w:rPr>
        <w:t xml:space="preserve">the correct study group and </w:t>
      </w:r>
      <w:r w:rsidR="005C3A6C">
        <w:rPr>
          <w:lang w:eastAsia="zh-CN"/>
        </w:rPr>
        <w:t xml:space="preserve">liaisons with working parties for affected services will need to be established. </w:t>
      </w:r>
    </w:p>
    <w:p w14:paraId="64400148" w14:textId="77777777" w:rsidR="00C137F8" w:rsidRDefault="00C137F8" w:rsidP="00A43CF0">
      <w:pPr>
        <w:rPr>
          <w:lang w:eastAsia="zh-CN"/>
        </w:rPr>
      </w:pPr>
    </w:p>
    <w:p w14:paraId="2AF34892" w14:textId="4753026B" w:rsidR="00C137F8" w:rsidRDefault="00C137F8" w:rsidP="00C137F8">
      <w:pPr>
        <w:tabs>
          <w:tab w:val="clear" w:pos="2268"/>
        </w:tabs>
        <w:rPr>
          <w:lang w:eastAsia="zh-CN"/>
        </w:rPr>
      </w:pPr>
      <w:r>
        <w:rPr>
          <w:lang w:eastAsia="zh-CN"/>
        </w:rPr>
        <w:t>Attachment 1</w:t>
      </w:r>
      <w:r>
        <w:rPr>
          <w:lang w:eastAsia="zh-CN"/>
        </w:rPr>
        <w:tab/>
      </w:r>
    </w:p>
    <w:p w14:paraId="5690A853" w14:textId="77777777" w:rsidR="00C137F8" w:rsidRDefault="00C137F8">
      <w:pPr>
        <w:tabs>
          <w:tab w:val="clear" w:pos="1134"/>
          <w:tab w:val="clear" w:pos="1871"/>
          <w:tab w:val="clear" w:pos="2268"/>
        </w:tabs>
        <w:overflowPunct/>
        <w:autoSpaceDE/>
        <w:autoSpaceDN/>
        <w:adjustRightInd/>
        <w:spacing w:before="0"/>
        <w:rPr>
          <w:lang w:eastAsia="zh-CN"/>
        </w:rPr>
      </w:pPr>
      <w:r>
        <w:rPr>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C137F8" w14:paraId="1C9B7F06" w14:textId="77777777" w:rsidTr="00725B2F">
        <w:trPr>
          <w:cantSplit/>
        </w:trPr>
        <w:tc>
          <w:tcPr>
            <w:tcW w:w="9889" w:type="dxa"/>
          </w:tcPr>
          <w:p w14:paraId="0C6F1594" w14:textId="77777777" w:rsidR="00C137F8" w:rsidRDefault="00C137F8" w:rsidP="00725B2F">
            <w:pPr>
              <w:pStyle w:val="Source"/>
              <w:rPr>
                <w:lang w:eastAsia="zh-CN"/>
              </w:rPr>
            </w:pPr>
            <w:r>
              <w:rPr>
                <w:lang w:eastAsia="zh-CN"/>
              </w:rPr>
              <w:lastRenderedPageBreak/>
              <w:t>ATTACHMENT</w:t>
            </w:r>
          </w:p>
        </w:tc>
      </w:tr>
      <w:tr w:rsidR="00C137F8" w14:paraId="7783CC40" w14:textId="77777777" w:rsidTr="00725B2F">
        <w:trPr>
          <w:cantSplit/>
        </w:trPr>
        <w:tc>
          <w:tcPr>
            <w:tcW w:w="9889" w:type="dxa"/>
          </w:tcPr>
          <w:p w14:paraId="1464BBC2" w14:textId="08D728DA" w:rsidR="00C137F8" w:rsidRDefault="00C137F8" w:rsidP="00725B2F">
            <w:pPr>
              <w:pStyle w:val="Title1"/>
              <w:rPr>
                <w:lang w:eastAsia="zh-CN"/>
              </w:rPr>
            </w:pPr>
            <w:r w:rsidRPr="000323FE">
              <w:rPr>
                <w:caps w:val="0"/>
              </w:rPr>
              <w:t>PRELIMINARY</w:t>
            </w:r>
            <w:r w:rsidRPr="00586A0F">
              <w:rPr>
                <w:caps w:val="0"/>
              </w:rPr>
              <w:t xml:space="preserve"> </w:t>
            </w:r>
            <w:r>
              <w:rPr>
                <w:caps w:val="0"/>
              </w:rPr>
              <w:t xml:space="preserve">NEW WORKING PAPER ON RES 731 </w:t>
            </w:r>
            <w:r w:rsidRPr="00C137F8">
              <w:rPr>
                <w:caps w:val="0"/>
              </w:rPr>
              <w:t>(R</w:t>
            </w:r>
            <w:r>
              <w:rPr>
                <w:caps w:val="0"/>
              </w:rPr>
              <w:t>EV</w:t>
            </w:r>
            <w:r w:rsidRPr="00C137F8">
              <w:rPr>
                <w:caps w:val="0"/>
              </w:rPr>
              <w:t>. WRC-23)</w:t>
            </w:r>
          </w:p>
        </w:tc>
      </w:tr>
      <w:tr w:rsidR="00C137F8" w14:paraId="266C6886" w14:textId="77777777" w:rsidTr="00C137F8">
        <w:trPr>
          <w:cantSplit/>
          <w:trHeight w:val="709"/>
        </w:trPr>
        <w:tc>
          <w:tcPr>
            <w:tcW w:w="9889" w:type="dxa"/>
          </w:tcPr>
          <w:p w14:paraId="163FBE18" w14:textId="4AB9F1C5" w:rsidR="00C137F8" w:rsidRDefault="00C137F8" w:rsidP="00725B2F">
            <w:pPr>
              <w:pStyle w:val="Title4"/>
              <w:rPr>
                <w:lang w:eastAsia="zh-CN"/>
              </w:rPr>
            </w:pPr>
            <w:r>
              <w:t>Active/Passive Sharing Issues in 100-275 GHz</w:t>
            </w:r>
          </w:p>
        </w:tc>
      </w:tr>
    </w:tbl>
    <w:p w14:paraId="59811016" w14:textId="77777777" w:rsidR="00C137F8" w:rsidRDefault="00C137F8" w:rsidP="00C137F8">
      <w:pPr>
        <w:tabs>
          <w:tab w:val="clear" w:pos="2268"/>
        </w:tabs>
        <w:rPr>
          <w:lang w:eastAsia="zh-CN"/>
        </w:rPr>
      </w:pPr>
    </w:p>
    <w:p w14:paraId="2E0DAB95" w14:textId="7B0439B0" w:rsidR="00C137F8" w:rsidRDefault="00C137F8">
      <w:pPr>
        <w:rPr>
          <w:b/>
          <w:bCs/>
          <w:lang w:eastAsia="zh-CN"/>
        </w:rPr>
      </w:pPr>
      <w:r w:rsidRPr="00C137F8">
        <w:rPr>
          <w:b/>
          <w:bCs/>
          <w:lang w:eastAsia="zh-CN"/>
        </w:rPr>
        <w:t>Scope</w:t>
      </w:r>
    </w:p>
    <w:p w14:paraId="320993A9" w14:textId="1340007B" w:rsidR="00C137F8" w:rsidRDefault="00C137F8" w:rsidP="00C137F8">
      <w:pPr>
        <w:rPr>
          <w:lang w:eastAsia="zh-CN"/>
        </w:rPr>
      </w:pPr>
      <w:r w:rsidRPr="00C137F8">
        <w:rPr>
          <w:lang w:eastAsia="zh-CN"/>
        </w:rPr>
        <w:t>This working paper considers technical approaches and options for</w:t>
      </w:r>
      <w:r>
        <w:rPr>
          <w:lang w:eastAsia="zh-CN"/>
        </w:rPr>
        <w:t xml:space="preserve"> implementing active passive sharing in 100-275 under the terms of </w:t>
      </w:r>
      <w:r w:rsidRPr="00C137F8">
        <w:rPr>
          <w:lang w:eastAsia="zh-CN"/>
        </w:rPr>
        <w:t>RES 731 (REV. WRC-23)</w:t>
      </w:r>
      <w:r>
        <w:rPr>
          <w:lang w:eastAsia="zh-CN"/>
        </w:rPr>
        <w:t xml:space="preserve"> which includes guidance on what bands can be considered and provides for explicit quantitative protection levels for the passive services.  It also addresses the provision of </w:t>
      </w:r>
      <w:r w:rsidRPr="00C137F8">
        <w:rPr>
          <w:lang w:eastAsia="zh-CN"/>
        </w:rPr>
        <w:t>RES 731 (REV. WRC-23)</w:t>
      </w:r>
      <w:r>
        <w:rPr>
          <w:lang w:eastAsia="zh-CN"/>
        </w:rPr>
        <w:t xml:space="preserve"> for the burden of sharing to be shared between the active and passive services.</w:t>
      </w:r>
    </w:p>
    <w:p w14:paraId="0C5B61A2" w14:textId="77777777" w:rsidR="00293459" w:rsidRDefault="00293459" w:rsidP="00C137F8">
      <w:pPr>
        <w:rPr>
          <w:lang w:eastAsia="zh-CN"/>
        </w:rPr>
      </w:pPr>
    </w:p>
    <w:p w14:paraId="093F2832" w14:textId="77777777" w:rsidR="00293459" w:rsidRPr="001A6836" w:rsidRDefault="00293459" w:rsidP="00293459">
      <w:pPr>
        <w:pStyle w:val="Headingb"/>
      </w:pPr>
      <w:r w:rsidRPr="001A6836">
        <w:t>Keywords</w:t>
      </w:r>
    </w:p>
    <w:p w14:paraId="7F9B70B1" w14:textId="77777777" w:rsidR="00293459" w:rsidRDefault="00293459" w:rsidP="00C137F8">
      <w:pPr>
        <w:rPr>
          <w:lang w:eastAsia="zh-CN"/>
        </w:rPr>
      </w:pPr>
    </w:p>
    <w:p w14:paraId="01B22E56" w14:textId="77777777" w:rsidR="00293459" w:rsidRDefault="00293459" w:rsidP="00C137F8">
      <w:pPr>
        <w:rPr>
          <w:lang w:eastAsia="zh-CN"/>
        </w:rPr>
      </w:pPr>
    </w:p>
    <w:p w14:paraId="6FF07EE8" w14:textId="16097D74" w:rsidR="00293459" w:rsidRDefault="00293459" w:rsidP="00C137F8">
      <w:pPr>
        <w:rPr>
          <w:b/>
          <w:bCs/>
          <w:lang w:val="en-US"/>
        </w:rPr>
      </w:pPr>
      <w:r w:rsidRPr="00293459">
        <w:rPr>
          <w:b/>
          <w:bCs/>
          <w:lang w:val="en-US"/>
        </w:rPr>
        <w:t>Abbreviation</w:t>
      </w:r>
      <w:r>
        <w:rPr>
          <w:b/>
          <w:bCs/>
          <w:lang w:val="en-US"/>
        </w:rPr>
        <w:t>s</w:t>
      </w:r>
    </w:p>
    <w:p w14:paraId="36FCF52B" w14:textId="77777777" w:rsidR="00293459" w:rsidRDefault="00293459" w:rsidP="00C137F8">
      <w:pPr>
        <w:rPr>
          <w:b/>
          <w:bCs/>
          <w:lang w:val="en-US"/>
        </w:rPr>
      </w:pPr>
    </w:p>
    <w:p w14:paraId="1519B4B2" w14:textId="77777777" w:rsidR="00293459" w:rsidRPr="00C91295" w:rsidRDefault="00293459" w:rsidP="00293459">
      <w:pPr>
        <w:pStyle w:val="Heading1"/>
        <w:rPr>
          <w:lang w:val="en-US"/>
        </w:rPr>
      </w:pPr>
      <w:bookmarkStart w:id="7" w:name="_Toc119440147"/>
      <w:bookmarkStart w:id="8" w:name="_Toc135905200"/>
      <w:bookmarkStart w:id="9" w:name="_Toc135905357"/>
      <w:bookmarkStart w:id="10" w:name="_Toc135905513"/>
      <w:r w:rsidRPr="00C91295">
        <w:rPr>
          <w:lang w:val="en-US"/>
        </w:rPr>
        <w:t>1</w:t>
      </w:r>
      <w:r w:rsidRPr="00C91295">
        <w:rPr>
          <w:lang w:val="en-US"/>
        </w:rPr>
        <w:tab/>
        <w:t>Introduction</w:t>
      </w:r>
      <w:bookmarkEnd w:id="7"/>
      <w:bookmarkEnd w:id="8"/>
      <w:bookmarkEnd w:id="9"/>
      <w:bookmarkEnd w:id="10"/>
    </w:p>
    <w:p w14:paraId="5758ED33" w14:textId="1FAF4287" w:rsidR="00C137F8" w:rsidRPr="00D22CD4" w:rsidRDefault="00711D6E" w:rsidP="00EE7012">
      <w:pPr>
        <w:rPr>
          <w:lang w:eastAsia="zh-CN"/>
        </w:rPr>
      </w:pPr>
      <w:r w:rsidRPr="00711D6E">
        <w:rPr>
          <w:lang w:eastAsia="zh-CN"/>
        </w:rPr>
        <w:t xml:space="preserve">While </w:t>
      </w:r>
      <w:r>
        <w:rPr>
          <w:lang w:eastAsia="zh-CN"/>
        </w:rPr>
        <w:t xml:space="preserve">spectrum policy was originally developed for telecommunications, since </w:t>
      </w:r>
      <w:r w:rsidR="001D6A3E">
        <w:rPr>
          <w:lang w:eastAsia="zh-CN"/>
        </w:rPr>
        <w:t>1959</w:t>
      </w:r>
      <w:r w:rsidR="001D6A3E">
        <w:rPr>
          <w:rStyle w:val="FootnoteReference"/>
          <w:lang w:eastAsia="zh-CN"/>
        </w:rPr>
        <w:footnoteReference w:id="1"/>
      </w:r>
      <w:r w:rsidR="00F476CC">
        <w:rPr>
          <w:lang w:eastAsia="zh-CN"/>
        </w:rPr>
        <w:t xml:space="preserve"> it </w:t>
      </w:r>
      <w:r>
        <w:rPr>
          <w:lang w:eastAsia="zh-CN"/>
        </w:rPr>
        <w:t>has explicitly provided for passive services including for bands with only passive allocations.  WRC-79</w:t>
      </w:r>
      <w:r w:rsidR="00D97D5E">
        <w:rPr>
          <w:lang w:eastAsia="zh-CN"/>
        </w:rPr>
        <w:t xml:space="preserve"> introduced</w:t>
      </w:r>
      <w:r>
        <w:rPr>
          <w:lang w:eastAsia="zh-CN"/>
        </w:rPr>
        <w:t xml:space="preserve"> the use of allocation table footnotes with the phrase “all emissions in the band xxx</w:t>
      </w:r>
      <w:r w:rsidR="00D22CD4">
        <w:rPr>
          <w:lang w:eastAsia="zh-CN"/>
        </w:rPr>
        <w:t>-</w:t>
      </w:r>
      <w:proofErr w:type="spellStart"/>
      <w:r w:rsidR="00D22CD4">
        <w:rPr>
          <w:lang w:eastAsia="zh-CN"/>
        </w:rPr>
        <w:t>yyy</w:t>
      </w:r>
      <w:proofErr w:type="spellEnd"/>
      <w:r w:rsidR="00D22CD4">
        <w:rPr>
          <w:lang w:eastAsia="zh-CN"/>
        </w:rPr>
        <w:t xml:space="preserve"> GHz</w:t>
      </w:r>
      <w:r>
        <w:rPr>
          <w:lang w:eastAsia="zh-CN"/>
        </w:rPr>
        <w:t xml:space="preserve"> are prohibited</w:t>
      </w:r>
      <w:r w:rsidR="00D97D5E">
        <w:rPr>
          <w:lang w:eastAsia="zh-CN"/>
        </w:rPr>
        <w:t>”</w:t>
      </w:r>
      <w:r>
        <w:rPr>
          <w:lang w:eastAsia="zh-CN"/>
        </w:rPr>
        <w:t>.</w:t>
      </w:r>
      <w:r w:rsidR="00442E39">
        <w:rPr>
          <w:lang w:eastAsia="zh-CN"/>
        </w:rPr>
        <w:t xml:space="preserve">  At that time this </w:t>
      </w:r>
      <w:r w:rsidR="00D97D5E">
        <w:rPr>
          <w:lang w:eastAsia="zh-CN"/>
        </w:rPr>
        <w:t xml:space="preserve">type of </w:t>
      </w:r>
      <w:r w:rsidR="00442E39">
        <w:rPr>
          <w:lang w:eastAsia="zh-CN"/>
        </w:rPr>
        <w:t xml:space="preserve">total prohibition of active use applied to </w:t>
      </w:r>
      <w:r w:rsidR="00161E76">
        <w:rPr>
          <w:lang w:eastAsia="zh-CN"/>
        </w:rPr>
        <w:t xml:space="preserve">7 </w:t>
      </w:r>
      <w:r w:rsidR="00442E39">
        <w:rPr>
          <w:lang w:eastAsia="zh-CN"/>
        </w:rPr>
        <w:t>bands in the range of 1.</w:t>
      </w:r>
      <w:r w:rsidR="00161E76">
        <w:rPr>
          <w:lang w:eastAsia="zh-CN"/>
        </w:rPr>
        <w:t>4</w:t>
      </w:r>
      <w:r w:rsidR="00D97D5E">
        <w:rPr>
          <w:lang w:eastAsia="zh-CN"/>
        </w:rPr>
        <w:t xml:space="preserve"> </w:t>
      </w:r>
      <w:r w:rsidR="00442E39">
        <w:rPr>
          <w:lang w:eastAsia="zh-CN"/>
        </w:rPr>
        <w:t>- 231 GHz</w:t>
      </w:r>
      <w:r w:rsidR="00161E76">
        <w:rPr>
          <w:lang w:eastAsia="zh-CN"/>
        </w:rPr>
        <w:t xml:space="preserve"> and involved 13% of EHF spectrum. </w:t>
      </w:r>
      <w:r w:rsidR="00D97D5E">
        <w:rPr>
          <w:lang w:eastAsia="zh-CN"/>
        </w:rPr>
        <w:t xml:space="preserve"> Because of the presence of many molecular resonances in the EHF band, there is a greater need for both spectrum for both the Radio Astronomy Service/RAS and the Earth Exploration-Satellite(passive) Service/EESS(p). </w:t>
      </w:r>
      <w:r w:rsidR="00161E76">
        <w:rPr>
          <w:lang w:eastAsia="zh-CN"/>
        </w:rPr>
        <w:t xml:space="preserve"> This total prohibition is now codified in </w:t>
      </w:r>
      <w:r w:rsidR="00161E76">
        <w:rPr>
          <w:b/>
          <w:bCs/>
          <w:lang w:eastAsia="zh-CN"/>
        </w:rPr>
        <w:t xml:space="preserve">5.340 </w:t>
      </w:r>
      <w:r w:rsidR="00161E76" w:rsidRPr="00161E76">
        <w:rPr>
          <w:lang w:eastAsia="zh-CN"/>
        </w:rPr>
        <w:t>and applies to</w:t>
      </w:r>
      <w:r w:rsidR="00161E76">
        <w:rPr>
          <w:lang w:eastAsia="zh-CN"/>
        </w:rPr>
        <w:t xml:space="preserve"> 16 bands and 17% of EHF spectrum</w:t>
      </w:r>
      <w:r w:rsidR="00406BD9">
        <w:rPr>
          <w:lang w:eastAsia="zh-CN"/>
        </w:rPr>
        <w:t xml:space="preserve">.  In 100-275 GHz there are presently 10 bands included in the prohibition of Res. 731 and they cover 19% of the </w:t>
      </w:r>
      <w:proofErr w:type="gramStart"/>
      <w:r w:rsidR="00406BD9">
        <w:rPr>
          <w:lang w:eastAsia="zh-CN"/>
        </w:rPr>
        <w:t>spectrum  in</w:t>
      </w:r>
      <w:proofErr w:type="gramEnd"/>
      <w:r w:rsidR="00406BD9">
        <w:rPr>
          <w:lang w:eastAsia="zh-CN"/>
        </w:rPr>
        <w:t xml:space="preserve"> 100-275 GHz.  There are also additional passive allocations that have either coprimary allocation with active services, </w:t>
      </w:r>
      <w:r w:rsidR="00406BD9" w:rsidRPr="00406BD9">
        <w:rPr>
          <w:i/>
          <w:iCs/>
          <w:lang w:eastAsia="zh-CN"/>
        </w:rPr>
        <w:t>e.g.</w:t>
      </w:r>
      <w:r w:rsidR="00406BD9">
        <w:rPr>
          <w:lang w:eastAsia="zh-CN"/>
        </w:rPr>
        <w:t xml:space="preserve">  59-59.3 GHz or are subject to </w:t>
      </w:r>
      <w:r w:rsidR="00EE7012">
        <w:rPr>
          <w:lang w:eastAsia="zh-CN"/>
        </w:rPr>
        <w:t>limited</w:t>
      </w:r>
      <w:r w:rsidR="00406BD9">
        <w:rPr>
          <w:lang w:eastAsia="zh-CN"/>
        </w:rPr>
        <w:t xml:space="preserve"> </w:t>
      </w:r>
      <w:r w:rsidR="00EE7012">
        <w:rPr>
          <w:lang w:eastAsia="zh-CN"/>
        </w:rPr>
        <w:t>restrictions</w:t>
      </w:r>
      <w:r w:rsidR="00406BD9">
        <w:rPr>
          <w:lang w:eastAsia="zh-CN"/>
        </w:rPr>
        <w:t xml:space="preserve"> such as in </w:t>
      </w:r>
      <w:r w:rsidR="00EE7012">
        <w:rPr>
          <w:b/>
          <w:bCs/>
          <w:lang w:eastAsia="zh-CN"/>
        </w:rPr>
        <w:t>5.149</w:t>
      </w:r>
      <w:r w:rsidR="00D22CD4">
        <w:rPr>
          <w:lang w:eastAsia="zh-CN"/>
        </w:rPr>
        <w:t>.</w:t>
      </w:r>
    </w:p>
    <w:p w14:paraId="5DAB91DF" w14:textId="77777777" w:rsidR="00D97D5E" w:rsidRDefault="00D97D5E" w:rsidP="00EE7012">
      <w:pPr>
        <w:rPr>
          <w:b/>
          <w:bCs/>
          <w:lang w:eastAsia="zh-CN"/>
        </w:rPr>
      </w:pPr>
    </w:p>
    <w:p w14:paraId="21CEF858" w14:textId="20CA891B" w:rsidR="001D6A3E" w:rsidRDefault="001D6A3E" w:rsidP="00EE7012">
      <w:pPr>
        <w:rPr>
          <w:lang w:eastAsia="zh-CN"/>
        </w:rPr>
      </w:pPr>
      <w:r w:rsidRPr="001D6A3E">
        <w:rPr>
          <w:lang w:eastAsia="zh-CN"/>
        </w:rPr>
        <w:t>The rapid growth of mobile telecommunications and progress in IMT</w:t>
      </w:r>
      <w:r>
        <w:rPr>
          <w:lang w:eastAsia="zh-CN"/>
        </w:rPr>
        <w:t xml:space="preserve"> has resulted in rapidly expanding volumes of information being sent around the world.  Cellular technologies such as </w:t>
      </w:r>
      <w:proofErr w:type="gramStart"/>
      <w:r>
        <w:rPr>
          <w:lang w:eastAsia="zh-CN"/>
        </w:rPr>
        <w:t>IMT  vastly</w:t>
      </w:r>
      <w:proofErr w:type="gramEnd"/>
      <w:r>
        <w:rPr>
          <w:lang w:eastAsia="zh-CN"/>
        </w:rPr>
        <w:t xml:space="preserve"> increase the efficiency of spectrum use by interconnecting base stations and reusing spectrum in areas with high population density.  Many </w:t>
      </w:r>
      <w:proofErr w:type="gramStart"/>
      <w:r>
        <w:rPr>
          <w:lang w:eastAsia="zh-CN"/>
        </w:rPr>
        <w:t>times</w:t>
      </w:r>
      <w:proofErr w:type="gramEnd"/>
      <w:r>
        <w:rPr>
          <w:lang w:eastAsia="zh-CN"/>
        </w:rPr>
        <w:t xml:space="preserve"> this cellular interconnection for fronthaul and backhaul is provided by </w:t>
      </w:r>
      <w:proofErr w:type="spellStart"/>
      <w:r>
        <w:rPr>
          <w:lang w:eastAsia="zh-CN"/>
        </w:rPr>
        <w:t>nonspectrum</w:t>
      </w:r>
      <w:proofErr w:type="spellEnd"/>
      <w:r>
        <w:rPr>
          <w:lang w:eastAsia="zh-CN"/>
        </w:rPr>
        <w:t xml:space="preserve"> alternatives such as optical </w:t>
      </w:r>
      <w:proofErr w:type="spellStart"/>
      <w:r>
        <w:rPr>
          <w:lang w:eastAsia="zh-CN"/>
        </w:rPr>
        <w:t>fiber</w:t>
      </w:r>
      <w:proofErr w:type="spellEnd"/>
      <w:r>
        <w:rPr>
          <w:lang w:eastAsia="zh-CN"/>
        </w:rPr>
        <w:t xml:space="preserve">.  At other time the point-to-point connectivity is provided by Fixed Service radio links.  As data flows increase, the present </w:t>
      </w:r>
      <w:r>
        <w:rPr>
          <w:lang w:eastAsia="zh-CN"/>
        </w:rPr>
        <w:lastRenderedPageBreak/>
        <w:t xml:space="preserve">Fixed </w:t>
      </w:r>
      <w:r w:rsidR="00083AD2">
        <w:rPr>
          <w:lang w:eastAsia="zh-CN"/>
        </w:rPr>
        <w:t>Service allocations</w:t>
      </w:r>
      <w:r>
        <w:rPr>
          <w:lang w:eastAsia="zh-CN"/>
        </w:rPr>
        <w:t xml:space="preserve"> will no longer be adequate for providing base station connectivity.  The largest contiguous Fixed </w:t>
      </w:r>
      <w:r w:rsidR="00083AD2">
        <w:rPr>
          <w:lang w:eastAsia="zh-CN"/>
        </w:rPr>
        <w:t>band</w:t>
      </w:r>
      <w:r>
        <w:rPr>
          <w:lang w:eastAsia="zh-CN"/>
        </w:rPr>
        <w:t xml:space="preserve"> is presently the </w:t>
      </w:r>
      <w:r w:rsidR="00083AD2">
        <w:rPr>
          <w:lang w:eastAsia="zh-CN"/>
        </w:rPr>
        <w:t>23 GHz in 252-275 GHz and the largest contiguous Fixed allocation below 200 GHz is the 12.5 GHz in 151.5-164 GHz.</w:t>
      </w:r>
      <w:r w:rsidR="008A24FC">
        <w:rPr>
          <w:lang w:eastAsia="zh-CN"/>
        </w:rPr>
        <w:t xml:space="preserve">  While there is a large amount of spectrum in 100-275 GHz, the passive services and the absolute prohibitions </w:t>
      </w:r>
      <w:proofErr w:type="gramStart"/>
      <w:r w:rsidR="008A24FC">
        <w:rPr>
          <w:lang w:eastAsia="zh-CN"/>
        </w:rPr>
        <w:t xml:space="preserve">of  </w:t>
      </w:r>
      <w:r w:rsidR="008A24FC">
        <w:rPr>
          <w:b/>
          <w:bCs/>
          <w:lang w:eastAsia="zh-CN"/>
        </w:rPr>
        <w:t>5.340</w:t>
      </w:r>
      <w:proofErr w:type="gramEnd"/>
      <w:r w:rsidR="008A24FC">
        <w:rPr>
          <w:b/>
          <w:bCs/>
          <w:lang w:eastAsia="zh-CN"/>
        </w:rPr>
        <w:t xml:space="preserve"> </w:t>
      </w:r>
      <w:r w:rsidR="008A24FC">
        <w:rPr>
          <w:lang w:eastAsia="zh-CN"/>
        </w:rPr>
        <w:t>fr</w:t>
      </w:r>
      <w:r w:rsidR="008A24FC" w:rsidRPr="008A24FC">
        <w:rPr>
          <w:lang w:eastAsia="zh-CN"/>
        </w:rPr>
        <w:t>agment into bands that may not be able to handle needed services in the future.</w:t>
      </w:r>
      <w:r w:rsidR="008A24FC">
        <w:rPr>
          <w:lang w:eastAsia="zh-CN"/>
        </w:rPr>
        <w:t xml:space="preserve"> This was anticipated in WRC-2000 when many of the </w:t>
      </w:r>
      <w:r w:rsidR="00D22CD4">
        <w:rPr>
          <w:lang w:eastAsia="zh-CN"/>
        </w:rPr>
        <w:t>present</w:t>
      </w:r>
      <w:r w:rsidR="00D22CD4">
        <w:rPr>
          <w:lang w:eastAsia="zh-CN"/>
        </w:rPr>
        <w:t xml:space="preserve"> 100-275 GHz </w:t>
      </w:r>
      <w:r w:rsidR="008A24FC">
        <w:rPr>
          <w:lang w:eastAsia="zh-CN"/>
        </w:rPr>
        <w:t xml:space="preserve">passive allocations were made and when </w:t>
      </w:r>
      <w:r w:rsidR="00D22CD4">
        <w:rPr>
          <w:lang w:eastAsia="zh-CN"/>
        </w:rPr>
        <w:t xml:space="preserve">Res. 731 was adopted.  </w:t>
      </w:r>
      <w:r w:rsidR="008A24FC">
        <w:rPr>
          <w:lang w:eastAsia="zh-CN"/>
        </w:rPr>
        <w:t>ITU-R was requested to study the feasibility of active</w:t>
      </w:r>
      <w:r w:rsidR="00D22CD4">
        <w:rPr>
          <w:lang w:eastAsia="zh-CN"/>
        </w:rPr>
        <w:t>/</w:t>
      </w:r>
      <w:r w:rsidR="008A24FC">
        <w:rPr>
          <w:lang w:eastAsia="zh-CN"/>
        </w:rPr>
        <w:t xml:space="preserve">passive </w:t>
      </w:r>
      <w:r w:rsidR="00D22CD4">
        <w:rPr>
          <w:lang w:eastAsia="zh-CN"/>
        </w:rPr>
        <w:t xml:space="preserve">sharing in passive bands in 71-275 GHz </w:t>
      </w:r>
      <w:r w:rsidR="008A24FC">
        <w:rPr>
          <w:lang w:eastAsia="zh-CN"/>
        </w:rPr>
        <w:t xml:space="preserve">services under the terms of Res. 731 </w:t>
      </w:r>
      <w:r w:rsidR="008A24FC">
        <w:rPr>
          <w:i/>
          <w:iCs/>
          <w:lang w:eastAsia="zh-CN"/>
        </w:rPr>
        <w:t>invites 1)</w:t>
      </w:r>
      <w:r w:rsidR="008A24FC">
        <w:rPr>
          <w:lang w:eastAsia="zh-CN"/>
        </w:rPr>
        <w:t xml:space="preserve"> which </w:t>
      </w:r>
      <w:r w:rsidR="00D22CD4">
        <w:rPr>
          <w:lang w:eastAsia="zh-CN"/>
        </w:rPr>
        <w:t xml:space="preserve">now </w:t>
      </w:r>
      <w:r w:rsidR="008A24FC">
        <w:rPr>
          <w:lang w:eastAsia="zh-CN"/>
        </w:rPr>
        <w:t>after WRC-23</w:t>
      </w:r>
      <w:r w:rsidR="001467FC">
        <w:rPr>
          <w:lang w:eastAsia="zh-CN"/>
        </w:rPr>
        <w:t xml:space="preserve"> </w:t>
      </w:r>
      <w:r w:rsidR="008A24FC">
        <w:rPr>
          <w:lang w:eastAsia="zh-CN"/>
        </w:rPr>
        <w:t xml:space="preserve">revisions states </w:t>
      </w:r>
    </w:p>
    <w:p w14:paraId="44B25380" w14:textId="77777777" w:rsidR="008A24FC" w:rsidRDefault="008A24FC" w:rsidP="00EE7012">
      <w:pPr>
        <w:rPr>
          <w:lang w:eastAsia="zh-CN"/>
        </w:rPr>
      </w:pPr>
    </w:p>
    <w:p w14:paraId="35C8447F" w14:textId="77777777" w:rsidR="008A24FC" w:rsidRPr="008A24FC" w:rsidRDefault="008A24FC" w:rsidP="008A24FC">
      <w:pPr>
        <w:ind w:left="720"/>
        <w:rPr>
          <w:lang w:val="en-US" w:eastAsia="zh-CN"/>
        </w:rPr>
      </w:pPr>
      <w:r w:rsidRPr="008A24FC">
        <w:rPr>
          <w:i/>
          <w:iCs/>
          <w:lang w:val="en-US" w:eastAsia="zh-CN"/>
        </w:rPr>
        <w:t xml:space="preserve">invites the ITU Radiocommunication Sector </w:t>
      </w:r>
    </w:p>
    <w:p w14:paraId="5EF88783" w14:textId="77777777" w:rsidR="008A24FC" w:rsidRPr="008A24FC" w:rsidRDefault="008A24FC" w:rsidP="008A24FC">
      <w:pPr>
        <w:ind w:left="720"/>
        <w:rPr>
          <w:lang w:val="en-US" w:eastAsia="zh-CN"/>
        </w:rPr>
      </w:pPr>
      <w:r w:rsidRPr="008A24FC">
        <w:rPr>
          <w:lang w:val="en-US" w:eastAsia="zh-CN"/>
        </w:rPr>
        <w:t xml:space="preserve">1 to continue its studies to determine if and under what conditions sharing is possible between active and passive services in the frequency bands above 71 GHz, such as, but not limited to, 116-122.25 GHz, 174.8-182 GHz, 185-190 GHz and 235-238 </w:t>
      </w:r>
      <w:proofErr w:type="gramStart"/>
      <w:r w:rsidRPr="008A24FC">
        <w:rPr>
          <w:lang w:val="en-US" w:eastAsia="zh-CN"/>
        </w:rPr>
        <w:t>GHz;</w:t>
      </w:r>
      <w:proofErr w:type="gramEnd"/>
      <w:r w:rsidRPr="008A24FC">
        <w:rPr>
          <w:lang w:val="en-US" w:eastAsia="zh-CN"/>
        </w:rPr>
        <w:t xml:space="preserve"> </w:t>
      </w:r>
    </w:p>
    <w:p w14:paraId="39A76041" w14:textId="1E0C726B" w:rsidR="008A24FC" w:rsidRPr="008A24FC" w:rsidRDefault="00D97D5E" w:rsidP="00EE7012">
      <w:pPr>
        <w:rPr>
          <w:lang w:val="en-US" w:eastAsia="zh-CN"/>
        </w:rPr>
      </w:pPr>
      <w:r>
        <w:rPr>
          <w:lang w:val="en-US" w:eastAsia="zh-CN"/>
        </w:rPr>
        <w:t xml:space="preserve">The technical challenge of active/passive sharing is much more difficult in the case of EESS(p) than for RAS because EESS(p) satellites orbit the entire Earth with antennas that usually cover the Earth’s surface while RAS antennas are usually </w:t>
      </w:r>
      <w:r w:rsidR="005D5372">
        <w:rPr>
          <w:lang w:val="en-US" w:eastAsia="zh-CN"/>
        </w:rPr>
        <w:t xml:space="preserve">pointed upward and </w:t>
      </w:r>
      <w:r>
        <w:rPr>
          <w:lang w:val="en-US" w:eastAsia="zh-CN"/>
        </w:rPr>
        <w:t xml:space="preserve">most of the modest number of RAS facilities above 100 GHz are located in </w:t>
      </w:r>
      <w:r w:rsidR="005D5372">
        <w:rPr>
          <w:lang w:val="en-US" w:eastAsia="zh-CN"/>
        </w:rPr>
        <w:t>remote high altitude locations</w:t>
      </w:r>
      <w:r>
        <w:rPr>
          <w:lang w:val="en-US" w:eastAsia="zh-CN"/>
        </w:rPr>
        <w:t xml:space="preserve"> </w:t>
      </w:r>
      <w:r w:rsidR="005D5372">
        <w:rPr>
          <w:lang w:val="en-US" w:eastAsia="zh-CN"/>
        </w:rPr>
        <w:t>to minimize the amount of atmosphere above the antenna since atmospheric aerosols adversely impact observations.  Therefore, most of the discussion will deal with EESS(p) issues.  RAS protection can be handled with terrain-based distance separation requirements to avoid line of sight propagation from transmitters to RAS facilities.</w:t>
      </w:r>
    </w:p>
    <w:p w14:paraId="04047EBB" w14:textId="2DCF7332" w:rsidR="001D6A3E" w:rsidRDefault="00FD09B1" w:rsidP="00FD09B1">
      <w:pPr>
        <w:pStyle w:val="Heading1"/>
        <w:rPr>
          <w:lang w:val="en-US"/>
        </w:rPr>
      </w:pPr>
      <w:r>
        <w:rPr>
          <w:lang w:val="en-US"/>
        </w:rPr>
        <w:t>2</w:t>
      </w:r>
      <w:r w:rsidRPr="00C91295">
        <w:rPr>
          <w:lang w:val="en-US"/>
        </w:rPr>
        <w:tab/>
      </w:r>
      <w:r>
        <w:rPr>
          <w:lang w:val="en-US"/>
        </w:rPr>
        <w:t>Need for Sharing</w:t>
      </w:r>
    </w:p>
    <w:p w14:paraId="6269051F" w14:textId="27B5655B" w:rsidR="00FD09B1" w:rsidRDefault="00D22CD4" w:rsidP="00FD09B1">
      <w:pPr>
        <w:rPr>
          <w:lang w:val="en-US"/>
        </w:rPr>
      </w:pPr>
      <w:r>
        <w:rPr>
          <w:lang w:val="en-US"/>
        </w:rPr>
        <w:t>At the time w</w:t>
      </w:r>
      <w:r w:rsidR="00FD09B1">
        <w:rPr>
          <w:lang w:val="en-US"/>
        </w:rPr>
        <w:t>hen Res. 731 was adopted there was no specific need for sharing passive spectrum in</w:t>
      </w:r>
      <w:r w:rsidR="003D502A">
        <w:rPr>
          <w:lang w:val="en-US"/>
        </w:rPr>
        <w:t xml:space="preserve"> the</w:t>
      </w:r>
      <w:r w:rsidR="00FD09B1">
        <w:rPr>
          <w:lang w:val="en-US"/>
        </w:rPr>
        <w:t xml:space="preserve"> 71-275 GHz</w:t>
      </w:r>
      <w:r>
        <w:rPr>
          <w:lang w:val="en-US"/>
        </w:rPr>
        <w:t xml:space="preserve">. </w:t>
      </w:r>
      <w:r w:rsidR="00FD09B1">
        <w:rPr>
          <w:lang w:val="en-US"/>
        </w:rPr>
        <w:t xml:space="preserve"> </w:t>
      </w:r>
      <w:r w:rsidR="003D502A">
        <w:rPr>
          <w:i/>
          <w:iCs/>
          <w:lang w:val="en-US"/>
        </w:rPr>
        <w:t>Considering e) – g)</w:t>
      </w:r>
      <w:r w:rsidR="003D502A">
        <w:rPr>
          <w:lang w:val="en-US"/>
        </w:rPr>
        <w:t xml:space="preserve"> states</w:t>
      </w:r>
    </w:p>
    <w:p w14:paraId="4F07C2F6" w14:textId="77777777" w:rsidR="003D502A" w:rsidRPr="003D502A" w:rsidRDefault="003D502A" w:rsidP="003D502A">
      <w:pPr>
        <w:ind w:left="720"/>
        <w:rPr>
          <w:lang w:val="en-US"/>
        </w:rPr>
      </w:pPr>
      <w:r w:rsidRPr="003D502A">
        <w:rPr>
          <w:i/>
          <w:iCs/>
          <w:lang w:val="en-US"/>
        </w:rPr>
        <w:t xml:space="preserve">e) </w:t>
      </w:r>
      <w:r w:rsidRPr="003D502A">
        <w:rPr>
          <w:lang w:val="en-US"/>
        </w:rPr>
        <w:t xml:space="preserve">that there is currently only limited knowledge of requirements and implementation plans for the active services that will operate in frequency bands above 71 </w:t>
      </w:r>
      <w:proofErr w:type="gramStart"/>
      <w:r w:rsidRPr="003D502A">
        <w:rPr>
          <w:lang w:val="en-US"/>
        </w:rPr>
        <w:t>GHz;</w:t>
      </w:r>
      <w:proofErr w:type="gramEnd"/>
      <w:r w:rsidRPr="003D502A">
        <w:rPr>
          <w:lang w:val="en-US"/>
        </w:rPr>
        <w:t xml:space="preserve"> </w:t>
      </w:r>
    </w:p>
    <w:p w14:paraId="77CF2DC2" w14:textId="77777777" w:rsidR="003D502A" w:rsidRPr="003D502A" w:rsidRDefault="003D502A" w:rsidP="003D502A">
      <w:pPr>
        <w:ind w:left="720"/>
        <w:rPr>
          <w:lang w:val="en-US"/>
        </w:rPr>
      </w:pPr>
      <w:r w:rsidRPr="003D502A">
        <w:rPr>
          <w:i/>
          <w:iCs/>
          <w:lang w:val="en-US"/>
        </w:rPr>
        <w:t xml:space="preserve">f) </w:t>
      </w:r>
      <w:r w:rsidRPr="003D502A">
        <w:rPr>
          <w:lang w:val="en-US"/>
        </w:rPr>
        <w:t xml:space="preserve">that, in the past, technological developments have led to viable communication systems operating at increasingly higher frequencies, and that this can be expected to continue so as to make communication technology available in the future in the frequency bands above 71 </w:t>
      </w:r>
      <w:proofErr w:type="gramStart"/>
      <w:r w:rsidRPr="003D502A">
        <w:rPr>
          <w:lang w:val="en-US"/>
        </w:rPr>
        <w:t>GHz;</w:t>
      </w:r>
      <w:proofErr w:type="gramEnd"/>
      <w:r w:rsidRPr="003D502A">
        <w:rPr>
          <w:lang w:val="en-US"/>
        </w:rPr>
        <w:t xml:space="preserve"> </w:t>
      </w:r>
    </w:p>
    <w:p w14:paraId="621B55DF" w14:textId="77777777" w:rsidR="003D502A" w:rsidRPr="003D502A" w:rsidRDefault="003D502A" w:rsidP="003D502A">
      <w:pPr>
        <w:ind w:left="720"/>
        <w:rPr>
          <w:lang w:val="en-US"/>
        </w:rPr>
      </w:pPr>
      <w:r w:rsidRPr="003D502A">
        <w:rPr>
          <w:i/>
          <w:iCs/>
          <w:lang w:val="en-US"/>
        </w:rPr>
        <w:t xml:space="preserve">g) </w:t>
      </w:r>
      <w:r w:rsidRPr="003D502A">
        <w:rPr>
          <w:lang w:val="en-US"/>
        </w:rPr>
        <w:t xml:space="preserve">that, in the future, alternative spectrum needs for the active and passive services should be accommodated when the new technologies become </w:t>
      </w:r>
      <w:proofErr w:type="gramStart"/>
      <w:r w:rsidRPr="003D502A">
        <w:rPr>
          <w:lang w:val="en-US"/>
        </w:rPr>
        <w:t>available;</w:t>
      </w:r>
      <w:proofErr w:type="gramEnd"/>
      <w:r w:rsidRPr="003D502A">
        <w:rPr>
          <w:lang w:val="en-US"/>
        </w:rPr>
        <w:t xml:space="preserve"> </w:t>
      </w:r>
    </w:p>
    <w:p w14:paraId="147B4C38" w14:textId="6EDEDCDD" w:rsidR="003D502A" w:rsidRDefault="003D502A" w:rsidP="003D502A">
      <w:pPr>
        <w:rPr>
          <w:lang w:val="en-US"/>
        </w:rPr>
      </w:pPr>
      <w:r>
        <w:rPr>
          <w:lang w:val="en-US"/>
        </w:rPr>
        <w:t>But with today</w:t>
      </w:r>
      <w:r w:rsidR="00D22CD4">
        <w:rPr>
          <w:lang w:val="en-US"/>
        </w:rPr>
        <w:t>’</w:t>
      </w:r>
      <w:r>
        <w:rPr>
          <w:lang w:val="en-US"/>
        </w:rPr>
        <w:t xml:space="preserve">s plans for IMT and </w:t>
      </w:r>
      <w:r w:rsidR="00D22CD4">
        <w:rPr>
          <w:lang w:val="en-US"/>
        </w:rPr>
        <w:t xml:space="preserve">today’s </w:t>
      </w:r>
      <w:r>
        <w:rPr>
          <w:lang w:val="en-US"/>
        </w:rPr>
        <w:t>fixed communications</w:t>
      </w:r>
      <w:r w:rsidR="00D22CD4">
        <w:rPr>
          <w:lang w:val="en-US"/>
        </w:rPr>
        <w:t>,</w:t>
      </w:r>
      <w:r>
        <w:rPr>
          <w:lang w:val="en-US"/>
        </w:rPr>
        <w:t xml:space="preserve"> the dat</w:t>
      </w:r>
      <w:r w:rsidR="00D22CD4">
        <w:rPr>
          <w:lang w:val="en-US"/>
        </w:rPr>
        <w:t>a</w:t>
      </w:r>
      <w:r>
        <w:rPr>
          <w:lang w:val="en-US"/>
        </w:rPr>
        <w:t xml:space="preserve"> rates are accelerating rapidly.  One forecast</w:t>
      </w:r>
      <w:r>
        <w:rPr>
          <w:rStyle w:val="FootnoteReference"/>
          <w:lang w:val="en-US"/>
        </w:rPr>
        <w:footnoteReference w:id="2"/>
      </w:r>
      <w:r>
        <w:rPr>
          <w:lang w:val="en-US"/>
        </w:rPr>
        <w:t xml:space="preserve"> states</w:t>
      </w:r>
    </w:p>
    <w:p w14:paraId="37E1168F" w14:textId="77777777" w:rsidR="003D502A" w:rsidRDefault="003D502A" w:rsidP="003D502A">
      <w:pPr>
        <w:rPr>
          <w:lang w:val="en-US"/>
        </w:rPr>
      </w:pPr>
    </w:p>
    <w:p w14:paraId="056BB930" w14:textId="2A8A648D" w:rsidR="003D502A" w:rsidRDefault="003D502A" w:rsidP="00D22CD4">
      <w:pPr>
        <w:spacing w:before="0"/>
        <w:ind w:left="720"/>
        <w:rPr>
          <w:lang w:val="en-US"/>
        </w:rPr>
      </w:pPr>
      <w:r w:rsidRPr="003D502A">
        <w:rPr>
          <w:lang w:val="en-US"/>
        </w:rPr>
        <w:t>Fixed broadband speeds will more than double by 2023. By 2023, global</w:t>
      </w:r>
      <w:r w:rsidR="00D22CD4">
        <w:rPr>
          <w:lang w:val="en-US"/>
        </w:rPr>
        <w:t xml:space="preserve"> </w:t>
      </w:r>
      <w:r w:rsidRPr="003D502A">
        <w:rPr>
          <w:lang w:val="en-US"/>
        </w:rPr>
        <w:t>fixed broadband speeds will reach 110.4 Mbps, up from 45.9 Mbps in 2018.</w:t>
      </w:r>
      <w:r w:rsidR="00D22CD4">
        <w:rPr>
          <w:lang w:val="en-US"/>
        </w:rPr>
        <w:t xml:space="preserve">  </w:t>
      </w:r>
      <w:r w:rsidRPr="003D502A">
        <w:rPr>
          <w:lang w:val="en-US"/>
        </w:rPr>
        <w:t>Mobile (cellular) speeds will more than triple by 2023. The average mobile</w:t>
      </w:r>
      <w:r w:rsidR="00D22CD4">
        <w:rPr>
          <w:lang w:val="en-US"/>
        </w:rPr>
        <w:t xml:space="preserve"> </w:t>
      </w:r>
      <w:r w:rsidRPr="003D502A">
        <w:rPr>
          <w:lang w:val="en-US"/>
        </w:rPr>
        <w:t>network connection speed was 13.2 Mbps in 2018 and will be 43.9 Mbps</w:t>
      </w:r>
      <w:r w:rsidR="00D22CD4">
        <w:rPr>
          <w:lang w:val="en-US"/>
        </w:rPr>
        <w:t xml:space="preserve"> </w:t>
      </w:r>
      <w:r w:rsidRPr="003D502A">
        <w:rPr>
          <w:lang w:val="en-US"/>
        </w:rPr>
        <w:t>by 2023.</w:t>
      </w:r>
    </w:p>
    <w:p w14:paraId="578329D7" w14:textId="11F6F71F" w:rsidR="003D502A" w:rsidRDefault="003D502A" w:rsidP="003D502A">
      <w:pPr>
        <w:rPr>
          <w:lang w:val="en-US"/>
        </w:rPr>
      </w:pPr>
      <w:r>
        <w:rPr>
          <w:lang w:val="en-US"/>
        </w:rPr>
        <w:lastRenderedPageBreak/>
        <w:t>Th</w:t>
      </w:r>
      <w:r w:rsidR="005D5372">
        <w:rPr>
          <w:lang w:val="en-US"/>
        </w:rPr>
        <w:t>ese</w:t>
      </w:r>
      <w:r>
        <w:rPr>
          <w:lang w:val="en-US"/>
        </w:rPr>
        <w:t xml:space="preserve"> </w:t>
      </w:r>
      <w:r w:rsidR="00D22CD4">
        <w:rPr>
          <w:lang w:val="en-US"/>
        </w:rPr>
        <w:t>table</w:t>
      </w:r>
      <w:r w:rsidR="005D5372">
        <w:rPr>
          <w:lang w:val="en-US"/>
        </w:rPr>
        <w:t>s</w:t>
      </w:r>
      <w:r>
        <w:rPr>
          <w:lang w:val="en-US"/>
        </w:rPr>
        <w:t xml:space="preserve"> show the </w:t>
      </w:r>
      <w:r w:rsidR="005D5372">
        <w:rPr>
          <w:lang w:val="en-US"/>
        </w:rPr>
        <w:t xml:space="preserve">global </w:t>
      </w:r>
      <w:r>
        <w:rPr>
          <w:lang w:val="en-US"/>
        </w:rPr>
        <w:t xml:space="preserve">regional distribution of </w:t>
      </w:r>
      <w:r w:rsidR="00211DAF">
        <w:rPr>
          <w:lang w:val="en-US"/>
        </w:rPr>
        <w:t>fixed and mobile speeds and their compound annual growth rates (CAGR)</w:t>
      </w:r>
      <w:r w:rsidR="00D22CD4">
        <w:rPr>
          <w:lang w:val="en-US"/>
        </w:rPr>
        <w:t>.</w:t>
      </w:r>
    </w:p>
    <w:p w14:paraId="308D6191" w14:textId="77777777" w:rsidR="00D45251" w:rsidRDefault="00D45251" w:rsidP="003D502A">
      <w:pPr>
        <w:rPr>
          <w:lang w:val="en-US"/>
        </w:rPr>
      </w:pPr>
      <w:r w:rsidRPr="00211DAF">
        <w:rPr>
          <w:lang w:val="en-US"/>
        </w:rPr>
        <w:drawing>
          <wp:inline distT="0" distB="0" distL="0" distR="0" wp14:anchorId="3775F359" wp14:editId="4305700E">
            <wp:extent cx="5016898" cy="1287145"/>
            <wp:effectExtent l="0" t="0" r="0" b="0"/>
            <wp:docPr id="32282174" name="Picture 1" descr="A white and blue rectangular tab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2174" name="Picture 1" descr="A white and blue rectangular table with numbers&#10;&#10;Description automatically generated"/>
                    <pic:cNvPicPr/>
                  </pic:nvPicPr>
                  <pic:blipFill>
                    <a:blip r:embed="rId11"/>
                    <a:stretch>
                      <a:fillRect/>
                    </a:stretch>
                  </pic:blipFill>
                  <pic:spPr>
                    <a:xfrm>
                      <a:off x="0" y="0"/>
                      <a:ext cx="5123521" cy="1314501"/>
                    </a:xfrm>
                    <a:prstGeom prst="rect">
                      <a:avLst/>
                    </a:prstGeom>
                  </pic:spPr>
                </pic:pic>
              </a:graphicData>
            </a:graphic>
          </wp:inline>
        </w:drawing>
      </w:r>
    </w:p>
    <w:p w14:paraId="4139940B" w14:textId="37526083" w:rsidR="003D502A" w:rsidRDefault="00D45251" w:rsidP="003D502A">
      <w:pPr>
        <w:rPr>
          <w:lang w:val="en-US"/>
        </w:rPr>
      </w:pPr>
      <w:r>
        <w:rPr>
          <w:b/>
          <w:bCs/>
          <w:lang w:val="en-US"/>
        </w:rPr>
        <w:t>Table 2.1:</w:t>
      </w:r>
      <w:r w:rsidR="00E46E56">
        <w:rPr>
          <w:lang w:val="en-US"/>
        </w:rPr>
        <w:t xml:space="preserve"> Fixed b</w:t>
      </w:r>
      <w:r w:rsidR="00211DAF">
        <w:rPr>
          <w:lang w:val="en-US"/>
        </w:rPr>
        <w:t xml:space="preserve">roadband speeds </w:t>
      </w:r>
      <w:r w:rsidR="00211DAF" w:rsidRPr="00211DAF">
        <w:rPr>
          <w:lang w:val="en-US"/>
        </w:rPr>
        <w:t>(in Mbps)</w:t>
      </w:r>
    </w:p>
    <w:p w14:paraId="3893B3A2" w14:textId="3FEF736A" w:rsidR="003D502A" w:rsidRPr="003D502A" w:rsidRDefault="003D502A" w:rsidP="003D502A">
      <w:pPr>
        <w:rPr>
          <w:lang w:val="en-US"/>
        </w:rPr>
      </w:pPr>
      <w:r w:rsidRPr="003D502A">
        <w:rPr>
          <w:lang w:val="en-US"/>
        </w:rPr>
        <w:drawing>
          <wp:inline distT="0" distB="0" distL="0" distR="0" wp14:anchorId="602B7269" wp14:editId="3D370B1B">
            <wp:extent cx="4951828" cy="1270450"/>
            <wp:effectExtent l="0" t="0" r="1270" b="0"/>
            <wp:docPr id="686115651"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5651" name="Picture 1" descr="A table with numbers and numbers&#10;&#10;Description automatically generated"/>
                    <pic:cNvPicPr/>
                  </pic:nvPicPr>
                  <pic:blipFill>
                    <a:blip r:embed="rId12"/>
                    <a:stretch>
                      <a:fillRect/>
                    </a:stretch>
                  </pic:blipFill>
                  <pic:spPr>
                    <a:xfrm>
                      <a:off x="0" y="0"/>
                      <a:ext cx="4983695" cy="1278626"/>
                    </a:xfrm>
                    <a:prstGeom prst="rect">
                      <a:avLst/>
                    </a:prstGeom>
                  </pic:spPr>
                </pic:pic>
              </a:graphicData>
            </a:graphic>
          </wp:inline>
        </w:drawing>
      </w:r>
    </w:p>
    <w:p w14:paraId="164200DD" w14:textId="2A48EAA8" w:rsidR="003D502A" w:rsidRPr="003D502A" w:rsidRDefault="00211DAF" w:rsidP="00211DAF">
      <w:pPr>
        <w:rPr>
          <w:lang w:val="en-US"/>
        </w:rPr>
      </w:pPr>
      <w:r w:rsidRPr="00B97012">
        <w:rPr>
          <w:b/>
          <w:bCs/>
          <w:lang w:val="en-US"/>
        </w:rPr>
        <w:t>Table 2</w:t>
      </w:r>
      <w:r w:rsidR="00D45251">
        <w:rPr>
          <w:b/>
          <w:bCs/>
          <w:lang w:val="en-US"/>
        </w:rPr>
        <w:t>.2</w:t>
      </w:r>
      <w:r w:rsidRPr="00B97012">
        <w:rPr>
          <w:b/>
          <w:bCs/>
          <w:lang w:val="en-US"/>
        </w:rPr>
        <w:t>:</w:t>
      </w:r>
      <w:r>
        <w:rPr>
          <w:lang w:val="en-US"/>
        </w:rPr>
        <w:t xml:space="preserve"> </w:t>
      </w:r>
      <w:r w:rsidRPr="00211DAF">
        <w:rPr>
          <w:lang w:val="en-US"/>
        </w:rPr>
        <w:t>Average mobile network connection speeds (in Mbps)</w:t>
      </w:r>
    </w:p>
    <w:p w14:paraId="63EA1DBD" w14:textId="77777777" w:rsidR="00211DAF" w:rsidRDefault="00211DAF">
      <w:pPr>
        <w:rPr>
          <w:lang w:val="en-US"/>
        </w:rPr>
      </w:pPr>
    </w:p>
    <w:p w14:paraId="55C3C684" w14:textId="2AEF1E5A" w:rsidR="00211DAF" w:rsidRDefault="00211DAF" w:rsidP="00E46E56">
      <w:pPr>
        <w:rPr>
          <w:lang w:val="en-US"/>
        </w:rPr>
      </w:pPr>
      <w:r>
        <w:rPr>
          <w:lang w:val="en-US"/>
        </w:rPr>
        <w:t>Note that in both the fixed and mobile case CAGRs are generally in the 20-30% range.</w:t>
      </w:r>
    </w:p>
    <w:p w14:paraId="686B696F" w14:textId="7B6CBBAF" w:rsidR="00211DAF" w:rsidRDefault="00211DAF" w:rsidP="00211DAF">
      <w:pPr>
        <w:rPr>
          <w:lang w:val="en-US"/>
        </w:rPr>
      </w:pPr>
      <w:r>
        <w:rPr>
          <w:lang w:val="en-US"/>
        </w:rPr>
        <w:t>Fortunately, optical fiber can meet much of the demand for broadband for both fixed use and for the fronthaul and backhaul that supports IMT.  But a report</w:t>
      </w:r>
      <w:r>
        <w:rPr>
          <w:rStyle w:val="FootnoteReference"/>
          <w:lang w:val="en-US"/>
        </w:rPr>
        <w:footnoteReference w:id="3"/>
      </w:r>
      <w:r>
        <w:rPr>
          <w:lang w:val="en-US"/>
        </w:rPr>
        <w:t xml:space="preserve"> by a major equipment manufacturer shows that radio</w:t>
      </w:r>
      <w:r w:rsidR="00E46E56">
        <w:rPr>
          <w:lang w:val="en-US"/>
        </w:rPr>
        <w:t>-</w:t>
      </w:r>
      <w:r>
        <w:rPr>
          <w:lang w:val="en-US"/>
        </w:rPr>
        <w:t xml:space="preserve">based links are still and are expected to continue to be a significant fraction of </w:t>
      </w:r>
      <w:r>
        <w:rPr>
          <w:lang w:val="en-US"/>
        </w:rPr>
        <w:t>fronthaul and backhaul</w:t>
      </w:r>
      <w:r>
        <w:rPr>
          <w:lang w:val="en-US"/>
        </w:rPr>
        <w:t xml:space="preserve"> in IMT.</w:t>
      </w:r>
    </w:p>
    <w:p w14:paraId="2A0DCE32" w14:textId="77777777" w:rsidR="00211DAF" w:rsidRDefault="00211DAF" w:rsidP="00211DAF">
      <w:pPr>
        <w:rPr>
          <w:lang w:val="en-US"/>
        </w:rPr>
      </w:pPr>
    </w:p>
    <w:p w14:paraId="5C376783" w14:textId="13AC44B8" w:rsidR="00211DAF" w:rsidRDefault="00211DAF" w:rsidP="00211DAF">
      <w:pPr>
        <w:rPr>
          <w:lang w:val="en-US"/>
        </w:rPr>
      </w:pPr>
      <w:r w:rsidRPr="00211DAF">
        <w:rPr>
          <w:lang w:val="en-US"/>
        </w:rPr>
        <w:drawing>
          <wp:inline distT="0" distB="0" distL="0" distR="0" wp14:anchorId="52D50F4C" wp14:editId="7A78DFB6">
            <wp:extent cx="3214468" cy="2439447"/>
            <wp:effectExtent l="0" t="0" r="0" b="0"/>
            <wp:docPr id="1694094585" name="Picture 1" descr="A blue green and purpl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94585" name="Picture 1" descr="A blue green and purple graph&#10;&#10;Description automatically generated"/>
                    <pic:cNvPicPr/>
                  </pic:nvPicPr>
                  <pic:blipFill>
                    <a:blip r:embed="rId13"/>
                    <a:stretch>
                      <a:fillRect/>
                    </a:stretch>
                  </pic:blipFill>
                  <pic:spPr>
                    <a:xfrm>
                      <a:off x="0" y="0"/>
                      <a:ext cx="3236610" cy="2456251"/>
                    </a:xfrm>
                    <a:prstGeom prst="rect">
                      <a:avLst/>
                    </a:prstGeom>
                  </pic:spPr>
                </pic:pic>
              </a:graphicData>
            </a:graphic>
          </wp:inline>
        </w:drawing>
      </w:r>
    </w:p>
    <w:p w14:paraId="393E453F" w14:textId="3B3A60CE" w:rsidR="00211DAF" w:rsidRDefault="00211DAF" w:rsidP="00211DAF">
      <w:pPr>
        <w:rPr>
          <w:lang w:val="en-US"/>
        </w:rPr>
      </w:pPr>
      <w:r w:rsidRPr="00B97012">
        <w:rPr>
          <w:b/>
          <w:bCs/>
          <w:lang w:val="en-US"/>
        </w:rPr>
        <w:lastRenderedPageBreak/>
        <w:t xml:space="preserve">Figure </w:t>
      </w:r>
      <w:r w:rsidR="00D45251">
        <w:rPr>
          <w:b/>
          <w:bCs/>
          <w:lang w:val="en-US"/>
        </w:rPr>
        <w:t>2.</w:t>
      </w:r>
      <w:r w:rsidRPr="00B97012">
        <w:rPr>
          <w:b/>
          <w:bCs/>
          <w:lang w:val="en-US"/>
        </w:rPr>
        <w:t>1:</w:t>
      </w:r>
      <w:r>
        <w:rPr>
          <w:lang w:val="en-US"/>
        </w:rPr>
        <w:t xml:space="preserve"> </w:t>
      </w:r>
      <w:r w:rsidRPr="00211DAF">
        <w:rPr>
          <w:lang w:val="en-US"/>
        </w:rPr>
        <w:t>Predicted global backhaul media distribution up until 2030</w:t>
      </w:r>
    </w:p>
    <w:p w14:paraId="3619B37D" w14:textId="33C1C392" w:rsidR="00D22CD4" w:rsidRDefault="00E46E56" w:rsidP="00211DAF">
      <w:pPr>
        <w:rPr>
          <w:lang w:val="en-US"/>
        </w:rPr>
      </w:pPr>
      <w:r>
        <w:rPr>
          <w:lang w:val="en-US"/>
        </w:rPr>
        <w:t>Optical fiber is different is several key aspects from Fixed Service radio links.  Fixed serv</w:t>
      </w:r>
      <w:r w:rsidR="00D22CD4">
        <w:rPr>
          <w:lang w:val="en-US"/>
        </w:rPr>
        <w:t>ice</w:t>
      </w:r>
      <w:r>
        <w:rPr>
          <w:lang w:val="en-US"/>
        </w:rPr>
        <w:t xml:space="preserve"> radio links have high equipment </w:t>
      </w:r>
      <w:proofErr w:type="gramStart"/>
      <w:r>
        <w:rPr>
          <w:lang w:val="en-US"/>
        </w:rPr>
        <w:t>costs</w:t>
      </w:r>
      <w:proofErr w:type="gramEnd"/>
      <w:r>
        <w:rPr>
          <w:lang w:val="en-US"/>
        </w:rPr>
        <w:t xml:space="preserve"> but the equipment is only at the end points and can be install</w:t>
      </w:r>
      <w:r w:rsidR="00D22CD4">
        <w:rPr>
          <w:lang w:val="en-US"/>
        </w:rPr>
        <w:t>ed</w:t>
      </w:r>
      <w:r>
        <w:rPr>
          <w:lang w:val="en-US"/>
        </w:rPr>
        <w:t xml:space="preserve"> quickly if access to the end points is possible.  By contrast, in optical fiber systems the fiber medium </w:t>
      </w:r>
      <w:r w:rsidR="005D5372">
        <w:rPr>
          <w:lang w:val="en-US"/>
        </w:rPr>
        <w:t>must</w:t>
      </w:r>
      <w:r>
        <w:rPr>
          <w:lang w:val="en-US"/>
        </w:rPr>
        <w:t xml:space="preserve"> be physically p</w:t>
      </w:r>
      <w:r w:rsidR="003B328E">
        <w:rPr>
          <w:lang w:val="en-US"/>
        </w:rPr>
        <w:t>l</w:t>
      </w:r>
      <w:r>
        <w:rPr>
          <w:lang w:val="en-US"/>
        </w:rPr>
        <w:t xml:space="preserve">aced on a continuous path from one endpoint to the other.  This requires </w:t>
      </w:r>
      <w:r w:rsidR="005D5372">
        <w:rPr>
          <w:lang w:val="en-US"/>
        </w:rPr>
        <w:t xml:space="preserve">both </w:t>
      </w:r>
      <w:r w:rsidR="00D22CD4">
        <w:rPr>
          <w:lang w:val="en-US"/>
        </w:rPr>
        <w:t xml:space="preserve">legal </w:t>
      </w:r>
      <w:proofErr w:type="gramStart"/>
      <w:r>
        <w:rPr>
          <w:lang w:val="en-US"/>
        </w:rPr>
        <w:t>permission</w:t>
      </w:r>
      <w:proofErr w:type="gramEnd"/>
      <w:r>
        <w:rPr>
          <w:lang w:val="en-US"/>
        </w:rPr>
        <w:t xml:space="preserve"> to place the fiber medium as well as the time consuming and often expensive installation.  (Although if the</w:t>
      </w:r>
      <w:r w:rsidR="003B328E">
        <w:rPr>
          <w:lang w:val="en-US"/>
        </w:rPr>
        <w:t>re</w:t>
      </w:r>
      <w:r>
        <w:rPr>
          <w:lang w:val="en-US"/>
        </w:rPr>
        <w:t xml:space="preserve"> is “dark fiber” or continuous conduit </w:t>
      </w:r>
      <w:r w:rsidR="003B328E">
        <w:rPr>
          <w:lang w:val="en-US"/>
        </w:rPr>
        <w:t>present</w:t>
      </w:r>
      <w:r w:rsidR="003B328E">
        <w:rPr>
          <w:lang w:val="en-US"/>
        </w:rPr>
        <w:t xml:space="preserve"> </w:t>
      </w:r>
      <w:r>
        <w:rPr>
          <w:lang w:val="en-US"/>
        </w:rPr>
        <w:t xml:space="preserve">with available capacity cost </w:t>
      </w:r>
      <w:r w:rsidR="003B328E">
        <w:rPr>
          <w:lang w:val="en-US"/>
        </w:rPr>
        <w:t>and</w:t>
      </w:r>
      <w:r>
        <w:rPr>
          <w:lang w:val="en-US"/>
        </w:rPr>
        <w:t xml:space="preserve"> speed of installation can be much more favorable.</w:t>
      </w:r>
      <w:r w:rsidR="00D22CD4">
        <w:rPr>
          <w:lang w:val="en-US"/>
        </w:rPr>
        <w:t>)</w:t>
      </w:r>
    </w:p>
    <w:p w14:paraId="7B3A8F79" w14:textId="260214EC" w:rsidR="00E46E56" w:rsidRDefault="00E46E56" w:rsidP="00211DAF">
      <w:pPr>
        <w:rPr>
          <w:lang w:val="en-US"/>
        </w:rPr>
      </w:pPr>
      <w:r>
        <w:rPr>
          <w:lang w:val="en-US"/>
        </w:rPr>
        <w:t xml:space="preserve">While some types of localized damage to fiber cable can be repaired quickly, in </w:t>
      </w:r>
      <w:r w:rsidR="003B328E">
        <w:rPr>
          <w:lang w:val="en-US"/>
        </w:rPr>
        <w:t>many</w:t>
      </w:r>
      <w:r>
        <w:rPr>
          <w:lang w:val="en-US"/>
        </w:rPr>
        <w:t xml:space="preserve"> natural or man-made disaster</w:t>
      </w:r>
      <w:r w:rsidR="003B328E">
        <w:rPr>
          <w:lang w:val="en-US"/>
        </w:rPr>
        <w:t>s quick repair of fiber medium may not be practical and temporary replacement with a Fixed service radio links could be key to restoring telecommunications to an area until fiber can be safely installed.</w:t>
      </w:r>
    </w:p>
    <w:p w14:paraId="5C5ED636" w14:textId="2B7885E4" w:rsidR="009D61DB" w:rsidRDefault="00E46E56" w:rsidP="005D5372">
      <w:pPr>
        <w:rPr>
          <w:lang w:eastAsia="zh-CN"/>
        </w:rPr>
      </w:pPr>
      <w:r>
        <w:rPr>
          <w:lang w:eastAsia="zh-CN"/>
        </w:rPr>
        <w:t>The largest contiguous Fixed band is presently the 23 GHz in 252-275 GHz and the largest contiguous Fixed allocation below 200 GHz is the 12.5 GHz in 151.5-164 GHz.</w:t>
      </w:r>
      <w:r>
        <w:rPr>
          <w:lang w:eastAsia="zh-CN"/>
        </w:rPr>
        <w:t xml:space="preserve">  Thus</w:t>
      </w:r>
      <w:r w:rsidR="009D61DB">
        <w:rPr>
          <w:lang w:eastAsia="zh-CN"/>
        </w:rPr>
        <w:t>,</w:t>
      </w:r>
      <w:r>
        <w:rPr>
          <w:lang w:eastAsia="zh-CN"/>
        </w:rPr>
        <w:t xml:space="preserve"> the large amount of spectrum in 100-275 GHz does not presently allow large contiguous blocks of spectrum for ever growing fixed broadband communications rates so larger contiguous bands are needed.</w:t>
      </w:r>
    </w:p>
    <w:p w14:paraId="4275475B" w14:textId="7DAF82D3" w:rsidR="009D61DB" w:rsidRDefault="009D61DB" w:rsidP="009D61DB">
      <w:pPr>
        <w:rPr>
          <w:lang w:eastAsia="zh-CN"/>
        </w:rPr>
      </w:pPr>
      <w:r>
        <w:rPr>
          <w:lang w:eastAsia="zh-CN"/>
        </w:rPr>
        <w:t>Below is a chart summarizing the major factors in spectrum availability in 100—275 GHz</w:t>
      </w:r>
    </w:p>
    <w:p w14:paraId="7150CCAD" w14:textId="27D6AD7C" w:rsidR="009D61DB" w:rsidRDefault="009D61DB" w:rsidP="009D61DB">
      <w:pPr>
        <w:rPr>
          <w:lang w:eastAsia="zh-CN"/>
        </w:rPr>
      </w:pPr>
      <w:r w:rsidRPr="009D61DB">
        <w:rPr>
          <w:lang w:eastAsia="zh-CN"/>
        </w:rPr>
        <w:drawing>
          <wp:inline distT="0" distB="0" distL="0" distR="0" wp14:anchorId="71CA42A3" wp14:editId="5F702CFB">
            <wp:extent cx="5549167" cy="2693422"/>
            <wp:effectExtent l="0" t="0" r="1270" b="0"/>
            <wp:docPr id="1357352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52402" name=""/>
                    <pic:cNvPicPr/>
                  </pic:nvPicPr>
                  <pic:blipFill rotWithShape="1">
                    <a:blip r:embed="rId14"/>
                    <a:srcRect l="4713" t="15119" r="4606" b="6635"/>
                    <a:stretch/>
                  </pic:blipFill>
                  <pic:spPr bwMode="auto">
                    <a:xfrm>
                      <a:off x="0" y="0"/>
                      <a:ext cx="5550375" cy="2694008"/>
                    </a:xfrm>
                    <a:prstGeom prst="rect">
                      <a:avLst/>
                    </a:prstGeom>
                    <a:ln>
                      <a:noFill/>
                    </a:ln>
                    <a:extLst>
                      <a:ext uri="{53640926-AAD7-44D8-BBD7-CCE9431645EC}">
                        <a14:shadowObscured xmlns:a14="http://schemas.microsoft.com/office/drawing/2010/main"/>
                      </a:ext>
                    </a:extLst>
                  </pic:spPr>
                </pic:pic>
              </a:graphicData>
            </a:graphic>
          </wp:inline>
        </w:drawing>
      </w:r>
    </w:p>
    <w:p w14:paraId="5A64724E" w14:textId="7119FC02" w:rsidR="009D61DB" w:rsidRDefault="009D61DB" w:rsidP="009D61DB">
      <w:pPr>
        <w:rPr>
          <w:lang w:eastAsia="zh-CN"/>
        </w:rPr>
      </w:pPr>
      <w:r w:rsidRPr="00B97012">
        <w:rPr>
          <w:b/>
          <w:bCs/>
          <w:lang w:eastAsia="zh-CN"/>
        </w:rPr>
        <w:t>Figure 2:</w:t>
      </w:r>
      <w:r>
        <w:rPr>
          <w:lang w:eastAsia="zh-CN"/>
        </w:rPr>
        <w:t xml:space="preserve"> Spectrum availability issues in 100-275 GHz</w:t>
      </w:r>
      <w:r>
        <w:rPr>
          <w:rStyle w:val="FootnoteReference"/>
          <w:lang w:eastAsia="zh-CN"/>
        </w:rPr>
        <w:footnoteReference w:id="4"/>
      </w:r>
    </w:p>
    <w:p w14:paraId="32BC0762" w14:textId="49AB8DBC" w:rsidR="00E46E56" w:rsidRDefault="009D61DB" w:rsidP="009D61DB">
      <w:pPr>
        <w:rPr>
          <w:lang w:eastAsia="zh-CN"/>
        </w:rPr>
      </w:pPr>
      <w:r>
        <w:rPr>
          <w:lang w:eastAsia="zh-CN"/>
        </w:rPr>
        <w:t xml:space="preserve">The vertical </w:t>
      </w:r>
      <w:proofErr w:type="spellStart"/>
      <w:r>
        <w:rPr>
          <w:lang w:eastAsia="zh-CN"/>
        </w:rPr>
        <w:t>gr</w:t>
      </w:r>
      <w:r w:rsidR="00AE7422">
        <w:rPr>
          <w:lang w:eastAsia="zh-CN"/>
        </w:rPr>
        <w:t>a</w:t>
      </w:r>
      <w:r>
        <w:rPr>
          <w:lang w:eastAsia="zh-CN"/>
        </w:rPr>
        <w:t>y</w:t>
      </w:r>
      <w:proofErr w:type="spellEnd"/>
      <w:r>
        <w:rPr>
          <w:lang w:eastAsia="zh-CN"/>
        </w:rPr>
        <w:t xml:space="preserve"> bars show the </w:t>
      </w:r>
      <w:r>
        <w:rPr>
          <w:b/>
          <w:bCs/>
          <w:lang w:eastAsia="zh-CN"/>
        </w:rPr>
        <w:t xml:space="preserve">5.340 </w:t>
      </w:r>
      <w:r w:rsidRPr="009D61DB">
        <w:rPr>
          <w:lang w:eastAsia="zh-CN"/>
        </w:rPr>
        <w:t>bands</w:t>
      </w:r>
      <w:r>
        <w:rPr>
          <w:lang w:eastAsia="zh-CN"/>
        </w:rPr>
        <w:t xml:space="preserve"> and how they segment the spectrum.  The Blue areas</w:t>
      </w:r>
      <w:r w:rsidR="00AE7422">
        <w:rPr>
          <w:lang w:eastAsia="zh-CN"/>
        </w:rPr>
        <w:t xml:space="preserve"> </w:t>
      </w:r>
      <w:r>
        <w:rPr>
          <w:lang w:eastAsia="zh-CN"/>
        </w:rPr>
        <w:t>at the bottom are unlicensed bands available in a few countries while the green are</w:t>
      </w:r>
      <w:r w:rsidR="00B97012">
        <w:rPr>
          <w:lang w:eastAsia="zh-CN"/>
        </w:rPr>
        <w:t>a</w:t>
      </w:r>
      <w:r>
        <w:rPr>
          <w:lang w:eastAsia="zh-CN"/>
        </w:rPr>
        <w:t>s show the bands with both Fixed and Mobile allocations. (</w:t>
      </w:r>
      <w:r w:rsidR="00B97012">
        <w:rPr>
          <w:lang w:eastAsia="zh-CN"/>
        </w:rPr>
        <w:t>I</w:t>
      </w:r>
      <w:r>
        <w:rPr>
          <w:lang w:eastAsia="zh-CN"/>
        </w:rPr>
        <w:t>n this spectrum region</w:t>
      </w:r>
      <w:r w:rsidR="00B97012">
        <w:rPr>
          <w:lang w:eastAsia="zh-CN"/>
        </w:rPr>
        <w:t xml:space="preserve"> all bands with Fixed allocations have coprimary Mobile allocations.)  </w:t>
      </w:r>
      <w:r w:rsidR="00AE7422">
        <w:rPr>
          <w:lang w:eastAsia="zh-CN"/>
        </w:rPr>
        <w:t>T</w:t>
      </w:r>
      <w:r w:rsidR="00B97012">
        <w:rPr>
          <w:lang w:eastAsia="zh-CN"/>
        </w:rPr>
        <w:t>his chart does not show all allocations</w:t>
      </w:r>
      <w:r w:rsidR="00AE7422">
        <w:rPr>
          <w:lang w:eastAsia="zh-CN"/>
        </w:rPr>
        <w:t xml:space="preserve"> for various services</w:t>
      </w:r>
      <w:r w:rsidR="00B97012">
        <w:rPr>
          <w:lang w:eastAsia="zh-CN"/>
        </w:rPr>
        <w:t xml:space="preserve"> because the sharing issue is dominated by the absolute present prohibition in </w:t>
      </w:r>
      <w:r w:rsidR="00B97012">
        <w:rPr>
          <w:b/>
          <w:bCs/>
          <w:lang w:eastAsia="zh-CN"/>
        </w:rPr>
        <w:t>5.340</w:t>
      </w:r>
      <w:r w:rsidR="00B97012">
        <w:rPr>
          <w:lang w:eastAsia="zh-CN"/>
        </w:rPr>
        <w:t xml:space="preserve">. </w:t>
      </w:r>
      <w:r w:rsidR="00AE7422">
        <w:rPr>
          <w:lang w:eastAsia="zh-CN"/>
        </w:rPr>
        <w:t xml:space="preserve">Sharing with other services is required for larger contiguous bands, but such sharing is more </w:t>
      </w:r>
      <w:proofErr w:type="gramStart"/>
      <w:r w:rsidR="00AE7422">
        <w:rPr>
          <w:lang w:eastAsia="zh-CN"/>
        </w:rPr>
        <w:t>straightforward  hat</w:t>
      </w:r>
      <w:proofErr w:type="gramEnd"/>
      <w:r w:rsidR="00AE7422">
        <w:rPr>
          <w:lang w:eastAsia="zh-CN"/>
        </w:rPr>
        <w:t xml:space="preserve"> the Res. 731 active/passive sharing issue. </w:t>
      </w:r>
      <w:r w:rsidR="00B97012">
        <w:rPr>
          <w:lang w:eastAsia="zh-CN"/>
        </w:rPr>
        <w:t xml:space="preserve"> Creating large contiguous bands will require sharing with other services such as radiolocation but developing approaches to such sharing is procedurally simpler than the sharing with </w:t>
      </w:r>
      <w:r w:rsidR="00B97012">
        <w:rPr>
          <w:b/>
          <w:bCs/>
          <w:lang w:eastAsia="zh-CN"/>
        </w:rPr>
        <w:t xml:space="preserve">5.340 </w:t>
      </w:r>
      <w:r w:rsidR="00B97012">
        <w:rPr>
          <w:lang w:eastAsia="zh-CN"/>
        </w:rPr>
        <w:t>band under the procedural guidelines given Res. 731.</w:t>
      </w:r>
      <w:r w:rsidR="00EC044E">
        <w:rPr>
          <w:lang w:eastAsia="zh-CN"/>
        </w:rPr>
        <w:t xml:space="preserve"> </w:t>
      </w:r>
    </w:p>
    <w:p w14:paraId="029ABA78" w14:textId="77777777" w:rsidR="00B97012" w:rsidRDefault="00B97012" w:rsidP="009D61DB">
      <w:pPr>
        <w:rPr>
          <w:lang w:eastAsia="zh-CN"/>
        </w:rPr>
      </w:pPr>
    </w:p>
    <w:p w14:paraId="1186EF80" w14:textId="7943D3BF" w:rsidR="00B97012" w:rsidRDefault="00B97012" w:rsidP="00B97012">
      <w:pPr>
        <w:pStyle w:val="Heading1"/>
        <w:rPr>
          <w:lang w:val="en-US"/>
        </w:rPr>
      </w:pPr>
      <w:r>
        <w:rPr>
          <w:lang w:val="en-US"/>
        </w:rPr>
        <w:t>3</w:t>
      </w:r>
      <w:r w:rsidRPr="00C91295">
        <w:rPr>
          <w:lang w:val="en-US"/>
        </w:rPr>
        <w:tab/>
      </w:r>
      <w:r>
        <w:rPr>
          <w:lang w:val="en-US"/>
        </w:rPr>
        <w:t>Possible sharing mechanisms</w:t>
      </w:r>
    </w:p>
    <w:p w14:paraId="29706129" w14:textId="3FBF75DA" w:rsidR="00B97012" w:rsidRPr="0030476C" w:rsidRDefault="00B97012" w:rsidP="00B97012">
      <w:pPr>
        <w:keepNext/>
        <w:keepLines/>
        <w:spacing w:before="200"/>
        <w:ind w:left="1134" w:hanging="1134"/>
        <w:outlineLvl w:val="1"/>
        <w:rPr>
          <w:b/>
        </w:rPr>
      </w:pPr>
      <w:r w:rsidRPr="0030476C">
        <w:rPr>
          <w:b/>
        </w:rPr>
        <w:t>3.1</w:t>
      </w:r>
      <w:r w:rsidRPr="0030476C">
        <w:rPr>
          <w:b/>
        </w:rPr>
        <w:tab/>
      </w:r>
      <w:r>
        <w:rPr>
          <w:b/>
        </w:rPr>
        <w:t>Physics of 100-275 GHz that facilitate sharing</w:t>
      </w:r>
    </w:p>
    <w:p w14:paraId="5D87B927" w14:textId="1ABCED34" w:rsidR="00B97012" w:rsidRDefault="00B97012" w:rsidP="00B97012">
      <w:r>
        <w:t xml:space="preserve">As frequencies increase, the nature of spectrum </w:t>
      </w:r>
      <w:proofErr w:type="gramStart"/>
      <w:r>
        <w:t>use</w:t>
      </w:r>
      <w:proofErr w:type="gramEnd"/>
      <w:r>
        <w:t xml:space="preserve"> and interference mechani</w:t>
      </w:r>
      <w:r w:rsidR="009221A4">
        <w:t>s</w:t>
      </w:r>
      <w:r>
        <w:t xml:space="preserve">ms changes although Maxwell’s </w:t>
      </w:r>
      <w:r w:rsidR="009221A4">
        <w:t>Equations</w:t>
      </w:r>
      <w:r>
        <w:t xml:space="preserve"> are frequency </w:t>
      </w:r>
      <w:r w:rsidR="009221A4">
        <w:t>independent.  The key factors relevant to active/passive sharing wavelengths as frequencies increase which enables practical use of antenna concepts that are impractical at lower bands.</w:t>
      </w:r>
    </w:p>
    <w:p w14:paraId="05ECCB1B" w14:textId="24AB5DD0" w:rsidR="009221A4" w:rsidRDefault="009221A4" w:rsidP="00B97012">
      <w:r w:rsidRPr="009221A4">
        <w:t>Recommendation ITU-R P.676-13</w:t>
      </w:r>
      <w:r>
        <w:rPr>
          <w:rStyle w:val="FootnoteReference"/>
        </w:rPr>
        <w:footnoteReference w:id="5"/>
      </w:r>
      <w:r>
        <w:t xml:space="preserve"> reviews atmospheric absorption and gives a model for computing propagation losses resulting from it.  The following chart shows s</w:t>
      </w:r>
      <w:r w:rsidRPr="009221A4">
        <w:t>pecific attenuation due to atmospheric gases</w:t>
      </w:r>
      <w:r>
        <w:t xml:space="preserve"> at sea level.</w:t>
      </w:r>
    </w:p>
    <w:p w14:paraId="64A7D611" w14:textId="1ECBE373" w:rsidR="009221A4" w:rsidRDefault="009221A4" w:rsidP="00B97012">
      <w:r w:rsidRPr="009221A4">
        <w:drawing>
          <wp:inline distT="0" distB="0" distL="0" distR="0" wp14:anchorId="0EE168A7" wp14:editId="7FC31067">
            <wp:extent cx="4077246" cy="5330156"/>
            <wp:effectExtent l="0" t="4128" r="0" b="0"/>
            <wp:docPr id="2141735538" name="Picture 1"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35538" name="Picture 1" descr="A graph with red and blue lines&#10;&#10;Description automatically generated"/>
                    <pic:cNvPicPr/>
                  </pic:nvPicPr>
                  <pic:blipFill>
                    <a:blip r:embed="rId15"/>
                    <a:stretch>
                      <a:fillRect/>
                    </a:stretch>
                  </pic:blipFill>
                  <pic:spPr>
                    <a:xfrm rot="5400000">
                      <a:off x="0" y="0"/>
                      <a:ext cx="4136987" cy="5408255"/>
                    </a:xfrm>
                    <a:prstGeom prst="rect">
                      <a:avLst/>
                    </a:prstGeom>
                  </pic:spPr>
                </pic:pic>
              </a:graphicData>
            </a:graphic>
          </wp:inline>
        </w:drawing>
      </w:r>
    </w:p>
    <w:p w14:paraId="57C7E56B" w14:textId="41DD1D24" w:rsidR="009221A4" w:rsidRDefault="009221A4" w:rsidP="00B97012">
      <w:r w:rsidRPr="009221A4">
        <w:rPr>
          <w:b/>
          <w:bCs/>
        </w:rPr>
        <w:t>Figure 3</w:t>
      </w:r>
      <w:r w:rsidR="00A86808">
        <w:rPr>
          <w:b/>
          <w:bCs/>
        </w:rPr>
        <w:t>.1</w:t>
      </w:r>
      <w:r w:rsidRPr="009221A4">
        <w:rPr>
          <w:b/>
          <w:bCs/>
        </w:rPr>
        <w:t>:</w:t>
      </w:r>
      <w:r>
        <w:rPr>
          <w:b/>
          <w:bCs/>
        </w:rPr>
        <w:t xml:space="preserve"> </w:t>
      </w:r>
      <w:r w:rsidRPr="009221A4">
        <w:t xml:space="preserve">Atmospheric losses </w:t>
      </w:r>
      <w:r w:rsidR="00083746">
        <w:t xml:space="preserve">at sea level </w:t>
      </w:r>
      <w:r w:rsidRPr="009221A4">
        <w:t xml:space="preserve">due to gases per </w:t>
      </w:r>
      <w:r w:rsidR="00083746">
        <w:t xml:space="preserve">ITU-R </w:t>
      </w:r>
      <w:r>
        <w:t>P</w:t>
      </w:r>
      <w:r w:rsidRPr="009221A4">
        <w:t>.676 model</w:t>
      </w:r>
    </w:p>
    <w:p w14:paraId="7379E8AE" w14:textId="74BE67B7" w:rsidR="00083746" w:rsidRDefault="00083746" w:rsidP="00B97012">
      <w:r>
        <w:t xml:space="preserve">The losses described in P.676 vary with many factors including frequency, atmospheric pressure/altitude, and humidity. </w:t>
      </w:r>
      <w:r w:rsidR="00EC044E">
        <w:t xml:space="preserve">(Annex 2 of </w:t>
      </w:r>
      <w:r w:rsidR="00EC044E">
        <w:t>P.676</w:t>
      </w:r>
      <w:r w:rsidR="00EC044E">
        <w:t xml:space="preserve"> lists 32 parameters that are involved in path loss calculation.  The curves in Figure 3.1 are standard combinations of those for sea level.)</w:t>
      </w:r>
      <w:r w:rsidR="00EC044E">
        <w:t xml:space="preserve"> </w:t>
      </w:r>
      <w:r>
        <w:t xml:space="preserve"> For the satellite uplink paths that could create interference to EESS(p) passive satellites the atmospheric </w:t>
      </w:r>
      <w:r>
        <w:lastRenderedPageBreak/>
        <w:t xml:space="preserve">pressure </w:t>
      </w:r>
      <w:r w:rsidR="00EC044E">
        <w:t>decreases</w:t>
      </w:r>
      <w:r>
        <w:t xml:space="preserve"> along the path from </w:t>
      </w:r>
      <w:r w:rsidR="00EC044E">
        <w:t>the transmitter</w:t>
      </w:r>
      <w:r>
        <w:t xml:space="preserve"> to </w:t>
      </w:r>
      <w:r w:rsidR="00EC044E">
        <w:t>the satellite</w:t>
      </w:r>
      <w:r>
        <w:t xml:space="preserve"> and the variation of path loss depend</w:t>
      </w:r>
      <w:r w:rsidR="00EC044E">
        <w:t>s</w:t>
      </w:r>
      <w:r>
        <w:t xml:space="preserve"> greatly on the elevation angle of the paths as shown below</w:t>
      </w:r>
      <w:r>
        <w:rPr>
          <w:rStyle w:val="FootnoteReference"/>
        </w:rPr>
        <w:footnoteReference w:id="6"/>
      </w:r>
    </w:p>
    <w:p w14:paraId="48E50B58" w14:textId="6AF332BC" w:rsidR="00083746" w:rsidRDefault="00083746" w:rsidP="00B97012">
      <w:r>
        <w:rPr>
          <w:noProof/>
        </w:rPr>
        <w:drawing>
          <wp:inline distT="0" distB="0" distL="0" distR="0" wp14:anchorId="0EEE37D2" wp14:editId="63E0232B">
            <wp:extent cx="4255342" cy="2695624"/>
            <wp:effectExtent l="0" t="0" r="0" b="0"/>
            <wp:docPr id="1477631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31239" name="Picture 1477631239"/>
                    <pic:cNvPicPr/>
                  </pic:nvPicPr>
                  <pic:blipFill>
                    <a:blip r:embed="rId16"/>
                    <a:stretch>
                      <a:fillRect/>
                    </a:stretch>
                  </pic:blipFill>
                  <pic:spPr>
                    <a:xfrm>
                      <a:off x="0" y="0"/>
                      <a:ext cx="4270225" cy="2705052"/>
                    </a:xfrm>
                    <a:prstGeom prst="rect">
                      <a:avLst/>
                    </a:prstGeom>
                  </pic:spPr>
                </pic:pic>
              </a:graphicData>
            </a:graphic>
          </wp:inline>
        </w:drawing>
      </w:r>
    </w:p>
    <w:p w14:paraId="11ACE344" w14:textId="43A5C26F" w:rsidR="00083746" w:rsidRDefault="00083746" w:rsidP="00B97012">
      <w:r w:rsidRPr="00083746">
        <w:rPr>
          <w:b/>
          <w:bCs/>
        </w:rPr>
        <w:t xml:space="preserve">Figure </w:t>
      </w:r>
      <w:r w:rsidR="00A86808">
        <w:rPr>
          <w:b/>
          <w:bCs/>
        </w:rPr>
        <w:t>3.2</w:t>
      </w:r>
      <w:r w:rsidRPr="00083746">
        <w:rPr>
          <w:b/>
          <w:bCs/>
        </w:rPr>
        <w:t>:</w:t>
      </w:r>
      <w:r>
        <w:t xml:space="preserve"> Path loss dependence of elevation angle</w:t>
      </w:r>
    </w:p>
    <w:p w14:paraId="3C8FA6F5" w14:textId="77777777" w:rsidR="005F18D7" w:rsidRDefault="00EC044E" w:rsidP="00B97012">
      <w:r>
        <w:t xml:space="preserve">It should be noted that for some frequencies the path loss from terrestrial transmitter to a satellite can exceed 1000 dB – a number much greater than is ever encountered in other spectrum engineering issues except possible use of Faraday cages. </w:t>
      </w:r>
      <w:r w:rsidR="00083746">
        <w:t xml:space="preserve">Most telecommunications Fixed Service links have low elevation angles and in these </w:t>
      </w:r>
      <w:proofErr w:type="gramStart"/>
      <w:r w:rsidR="00083746">
        <w:t>cases</w:t>
      </w:r>
      <w:r w:rsidR="00B156AE">
        <w:t xml:space="preserve">  some</w:t>
      </w:r>
      <w:proofErr w:type="gramEnd"/>
      <w:r w:rsidR="00B156AE">
        <w:t xml:space="preserve"> frequencies have high specific absorption rates.  </w:t>
      </w:r>
      <w:r w:rsidR="005F18D7">
        <w:t>T</w:t>
      </w:r>
      <w:r w:rsidR="00B156AE">
        <w:t xml:space="preserve">hese </w:t>
      </w:r>
      <w:r w:rsidR="005F18D7">
        <w:t>high a</w:t>
      </w:r>
      <w:r w:rsidR="00B156AE">
        <w:t>bsorption</w:t>
      </w:r>
      <w:r w:rsidR="005F18D7">
        <w:t xml:space="preserve"> levels</w:t>
      </w:r>
      <w:r w:rsidR="00B156AE">
        <w:t xml:space="preserve"> are due to molecular resonances </w:t>
      </w:r>
      <w:r w:rsidR="005F18D7">
        <w:t>and</w:t>
      </w:r>
      <w:r w:rsidR="00B156AE">
        <w:t xml:space="preserve"> bands of interest to the passive services generally have </w:t>
      </w:r>
      <w:r w:rsidR="005F18D7">
        <w:t xml:space="preserve">such </w:t>
      </w:r>
      <w:r w:rsidR="00B156AE">
        <w:t xml:space="preserve">absorption peaks. </w:t>
      </w:r>
    </w:p>
    <w:p w14:paraId="04AF30D2" w14:textId="33F441DE" w:rsidR="00083746" w:rsidRDefault="00B156AE" w:rsidP="00B97012">
      <w:r>
        <w:t xml:space="preserve">Ground reflections of signals from fixed links could result in some power transmitted on a low elevation angle path being reflected towards </w:t>
      </w:r>
      <w:proofErr w:type="gramStart"/>
      <w:r>
        <w:t>a</w:t>
      </w:r>
      <w:proofErr w:type="gramEnd"/>
      <w:r>
        <w:t xml:space="preserve"> EESS(p) satellite in NGSO orbits which would then experience much less path loss than shown here.  This must be considered in selecting path routes and antennas to minimize its impact.</w:t>
      </w:r>
    </w:p>
    <w:p w14:paraId="75E75A3F" w14:textId="510E7457" w:rsidR="00083746" w:rsidRDefault="00B156AE" w:rsidP="008809D4">
      <w:r>
        <w:t>For the EHF spectrum wavelengths are shorter than for lower bands.</w:t>
      </w:r>
      <w:r w:rsidR="007A66F5">
        <w:t xml:space="preserve">  By itself this does not make antennas more effective.  But the</w:t>
      </w:r>
      <w:r w:rsidR="005F18D7">
        <w:t>se</w:t>
      </w:r>
      <w:r w:rsidR="007A66F5">
        <w:t xml:space="preserve"> smaller wavelengths allow consideration of antenna designs that would not be practical in lower bands due to their size.  Thus</w:t>
      </w:r>
      <w:r w:rsidR="005F18D7">
        <w:t>,</w:t>
      </w:r>
      <w:r w:rsidR="007A66F5">
        <w:t xml:space="preserve"> “massive MIMO” becomes much smaller than in lowe</w:t>
      </w:r>
      <w:r w:rsidR="008809D4">
        <w:t>r</w:t>
      </w:r>
      <w:r w:rsidR="007A66F5">
        <w:t xml:space="preserve"> frequency bands.  For </w:t>
      </w:r>
      <w:r w:rsidR="005F18D7">
        <w:t>example, a</w:t>
      </w:r>
      <w:r w:rsidR="007A66F5">
        <w:t xml:space="preserve"> 100 element </w:t>
      </w:r>
      <w:r w:rsidR="007A66F5" w:rsidRPr="007A66F5">
        <w:t>λ/2</w:t>
      </w:r>
      <w:r w:rsidR="007A66F5">
        <w:t xml:space="preserve"> antenna would have the sizes</w:t>
      </w:r>
      <w:r w:rsidR="008809D4">
        <w:t xml:space="preserve"> shown below.</w:t>
      </w:r>
    </w:p>
    <w:p w14:paraId="17EC69E1" w14:textId="77777777" w:rsidR="008809D4" w:rsidRPr="009221A4" w:rsidRDefault="008809D4" w:rsidP="008809D4"/>
    <w:tbl>
      <w:tblPr>
        <w:tblW w:w="4200" w:type="dxa"/>
        <w:tblInd w:w="612" w:type="dxa"/>
        <w:tblLook w:val="04A0" w:firstRow="1" w:lastRow="0" w:firstColumn="1" w:lastColumn="0" w:noHBand="0" w:noVBand="1"/>
      </w:tblPr>
      <w:tblGrid>
        <w:gridCol w:w="2180"/>
        <w:gridCol w:w="2020"/>
      </w:tblGrid>
      <w:tr w:rsidR="008809D4" w:rsidRPr="008809D4" w14:paraId="2873881A" w14:textId="77777777" w:rsidTr="008809D4">
        <w:trPr>
          <w:trHeight w:val="320"/>
        </w:trPr>
        <w:tc>
          <w:tcPr>
            <w:tcW w:w="2180" w:type="dxa"/>
            <w:tcBorders>
              <w:top w:val="nil"/>
              <w:left w:val="nil"/>
              <w:bottom w:val="nil"/>
              <w:right w:val="nil"/>
            </w:tcBorders>
            <w:shd w:val="clear" w:color="auto" w:fill="auto"/>
            <w:noWrap/>
            <w:vAlign w:val="bottom"/>
            <w:hideMark/>
          </w:tcPr>
          <w:p w14:paraId="6D2398F2" w14:textId="77777777" w:rsidR="008809D4" w:rsidRPr="008809D4" w:rsidRDefault="008809D4" w:rsidP="008809D4">
            <w:pPr>
              <w:tabs>
                <w:tab w:val="clear" w:pos="1134"/>
                <w:tab w:val="clear" w:pos="1871"/>
                <w:tab w:val="clear" w:pos="2268"/>
              </w:tabs>
              <w:overflowPunct/>
              <w:autoSpaceDE/>
              <w:autoSpaceDN/>
              <w:adjustRightInd/>
              <w:spacing w:before="0"/>
              <w:jc w:val="center"/>
              <w:rPr>
                <w:rFonts w:ascii="Aptos Narrow" w:hAnsi="Aptos Narrow"/>
                <w:b/>
                <w:bCs/>
                <w:color w:val="000000"/>
                <w:szCs w:val="24"/>
                <w:lang w:val="en-US" w:eastAsia="ja-JP" w:bidi="he-IL"/>
              </w:rPr>
            </w:pPr>
            <w:r w:rsidRPr="008809D4">
              <w:rPr>
                <w:rFonts w:ascii="Aptos Narrow" w:hAnsi="Aptos Narrow"/>
                <w:b/>
                <w:bCs/>
                <w:color w:val="000000"/>
                <w:szCs w:val="24"/>
                <w:lang w:val="en-US" w:eastAsia="ja-JP" w:bidi="he-IL"/>
              </w:rPr>
              <w:t>Frequency (GHz)</w:t>
            </w:r>
          </w:p>
        </w:tc>
        <w:tc>
          <w:tcPr>
            <w:tcW w:w="2020" w:type="dxa"/>
            <w:tcBorders>
              <w:top w:val="nil"/>
              <w:left w:val="nil"/>
              <w:bottom w:val="nil"/>
              <w:right w:val="nil"/>
            </w:tcBorders>
            <w:shd w:val="clear" w:color="auto" w:fill="auto"/>
            <w:noWrap/>
            <w:vAlign w:val="bottom"/>
            <w:hideMark/>
          </w:tcPr>
          <w:p w14:paraId="09AF62F2" w14:textId="77777777" w:rsidR="008809D4" w:rsidRPr="008809D4" w:rsidRDefault="008809D4" w:rsidP="008809D4">
            <w:pPr>
              <w:tabs>
                <w:tab w:val="clear" w:pos="1134"/>
                <w:tab w:val="clear" w:pos="1871"/>
                <w:tab w:val="clear" w:pos="2268"/>
              </w:tabs>
              <w:overflowPunct/>
              <w:autoSpaceDE/>
              <w:autoSpaceDN/>
              <w:adjustRightInd/>
              <w:spacing w:before="0"/>
              <w:jc w:val="center"/>
              <w:rPr>
                <w:rFonts w:ascii="Aptos Narrow" w:hAnsi="Aptos Narrow"/>
                <w:b/>
                <w:bCs/>
                <w:color w:val="000000"/>
                <w:szCs w:val="24"/>
                <w:lang w:val="en-US" w:eastAsia="ja-JP" w:bidi="he-IL"/>
              </w:rPr>
            </w:pPr>
            <w:r w:rsidRPr="008809D4">
              <w:rPr>
                <w:rFonts w:ascii="Aptos Narrow" w:hAnsi="Aptos Narrow"/>
                <w:b/>
                <w:bCs/>
                <w:color w:val="000000"/>
                <w:szCs w:val="24"/>
                <w:lang w:val="en-US" w:eastAsia="ja-JP" w:bidi="he-IL"/>
              </w:rPr>
              <w:t>100λ/2 (mm)</w:t>
            </w:r>
          </w:p>
        </w:tc>
      </w:tr>
      <w:tr w:rsidR="008809D4" w:rsidRPr="008809D4" w14:paraId="567A597C" w14:textId="77777777" w:rsidTr="008809D4">
        <w:trPr>
          <w:trHeight w:val="320"/>
        </w:trPr>
        <w:tc>
          <w:tcPr>
            <w:tcW w:w="2180" w:type="dxa"/>
            <w:tcBorders>
              <w:top w:val="nil"/>
              <w:left w:val="nil"/>
              <w:bottom w:val="nil"/>
              <w:right w:val="nil"/>
            </w:tcBorders>
            <w:shd w:val="clear" w:color="auto" w:fill="auto"/>
            <w:noWrap/>
            <w:vAlign w:val="bottom"/>
            <w:hideMark/>
          </w:tcPr>
          <w:p w14:paraId="73390B09" w14:textId="77777777" w:rsidR="008809D4" w:rsidRPr="008809D4" w:rsidRDefault="008809D4" w:rsidP="008809D4">
            <w:pPr>
              <w:tabs>
                <w:tab w:val="clear" w:pos="1134"/>
                <w:tab w:val="clear" w:pos="1871"/>
                <w:tab w:val="clear" w:pos="2268"/>
              </w:tabs>
              <w:overflowPunct/>
              <w:autoSpaceDE/>
              <w:autoSpaceDN/>
              <w:adjustRightInd/>
              <w:spacing w:before="0"/>
              <w:jc w:val="center"/>
              <w:rPr>
                <w:rFonts w:ascii="Aptos Narrow" w:hAnsi="Aptos Narrow"/>
                <w:color w:val="000000"/>
                <w:szCs w:val="24"/>
                <w:lang w:val="en-US" w:eastAsia="ja-JP" w:bidi="he-IL"/>
              </w:rPr>
            </w:pPr>
            <w:r w:rsidRPr="008809D4">
              <w:rPr>
                <w:rFonts w:ascii="Aptos Narrow" w:hAnsi="Aptos Narrow"/>
                <w:color w:val="000000"/>
                <w:szCs w:val="24"/>
                <w:lang w:val="en-US" w:eastAsia="ja-JP" w:bidi="he-IL"/>
              </w:rPr>
              <w:t>100</w:t>
            </w:r>
          </w:p>
        </w:tc>
        <w:tc>
          <w:tcPr>
            <w:tcW w:w="2020" w:type="dxa"/>
            <w:tcBorders>
              <w:top w:val="nil"/>
              <w:left w:val="nil"/>
              <w:bottom w:val="nil"/>
              <w:right w:val="nil"/>
            </w:tcBorders>
            <w:shd w:val="clear" w:color="auto" w:fill="auto"/>
            <w:noWrap/>
            <w:vAlign w:val="bottom"/>
            <w:hideMark/>
          </w:tcPr>
          <w:p w14:paraId="6E693DF2" w14:textId="77777777" w:rsidR="008809D4" w:rsidRPr="008809D4" w:rsidRDefault="008809D4" w:rsidP="008809D4">
            <w:pPr>
              <w:tabs>
                <w:tab w:val="clear" w:pos="1134"/>
                <w:tab w:val="clear" w:pos="1871"/>
                <w:tab w:val="clear" w:pos="2268"/>
              </w:tabs>
              <w:overflowPunct/>
              <w:autoSpaceDE/>
              <w:autoSpaceDN/>
              <w:adjustRightInd/>
              <w:spacing w:before="0"/>
              <w:jc w:val="center"/>
              <w:rPr>
                <w:rFonts w:ascii="Aptos Narrow" w:hAnsi="Aptos Narrow"/>
                <w:color w:val="000000"/>
                <w:szCs w:val="24"/>
                <w:lang w:val="en-US" w:eastAsia="ja-JP" w:bidi="he-IL"/>
              </w:rPr>
            </w:pPr>
            <w:r w:rsidRPr="008809D4">
              <w:rPr>
                <w:rFonts w:ascii="Aptos Narrow" w:hAnsi="Aptos Narrow"/>
                <w:color w:val="000000"/>
                <w:szCs w:val="24"/>
                <w:lang w:val="en-US" w:eastAsia="ja-JP" w:bidi="he-IL"/>
              </w:rPr>
              <w:t>150</w:t>
            </w:r>
          </w:p>
        </w:tc>
      </w:tr>
      <w:tr w:rsidR="008809D4" w:rsidRPr="008809D4" w14:paraId="11B721F5" w14:textId="77777777" w:rsidTr="008809D4">
        <w:trPr>
          <w:trHeight w:val="320"/>
        </w:trPr>
        <w:tc>
          <w:tcPr>
            <w:tcW w:w="2180" w:type="dxa"/>
            <w:tcBorders>
              <w:top w:val="nil"/>
              <w:left w:val="nil"/>
              <w:bottom w:val="nil"/>
              <w:right w:val="nil"/>
            </w:tcBorders>
            <w:shd w:val="clear" w:color="auto" w:fill="auto"/>
            <w:noWrap/>
            <w:vAlign w:val="bottom"/>
            <w:hideMark/>
          </w:tcPr>
          <w:p w14:paraId="2EC7CB88" w14:textId="77777777" w:rsidR="008809D4" w:rsidRPr="008809D4" w:rsidRDefault="008809D4" w:rsidP="008809D4">
            <w:pPr>
              <w:tabs>
                <w:tab w:val="clear" w:pos="1134"/>
                <w:tab w:val="clear" w:pos="1871"/>
                <w:tab w:val="clear" w:pos="2268"/>
              </w:tabs>
              <w:overflowPunct/>
              <w:autoSpaceDE/>
              <w:autoSpaceDN/>
              <w:adjustRightInd/>
              <w:spacing w:before="0"/>
              <w:jc w:val="center"/>
              <w:rPr>
                <w:rFonts w:ascii="Aptos Narrow" w:hAnsi="Aptos Narrow"/>
                <w:color w:val="000000"/>
                <w:szCs w:val="24"/>
                <w:lang w:val="en-US" w:eastAsia="ja-JP" w:bidi="he-IL"/>
              </w:rPr>
            </w:pPr>
            <w:r w:rsidRPr="008809D4">
              <w:rPr>
                <w:rFonts w:ascii="Aptos Narrow" w:hAnsi="Aptos Narrow"/>
                <w:color w:val="000000"/>
                <w:szCs w:val="24"/>
                <w:lang w:val="en-US" w:eastAsia="ja-JP" w:bidi="he-IL"/>
              </w:rPr>
              <w:t>150</w:t>
            </w:r>
          </w:p>
        </w:tc>
        <w:tc>
          <w:tcPr>
            <w:tcW w:w="2020" w:type="dxa"/>
            <w:tcBorders>
              <w:top w:val="nil"/>
              <w:left w:val="nil"/>
              <w:bottom w:val="nil"/>
              <w:right w:val="nil"/>
            </w:tcBorders>
            <w:shd w:val="clear" w:color="auto" w:fill="auto"/>
            <w:noWrap/>
            <w:vAlign w:val="bottom"/>
            <w:hideMark/>
          </w:tcPr>
          <w:p w14:paraId="41D7DFF2" w14:textId="77777777" w:rsidR="008809D4" w:rsidRPr="008809D4" w:rsidRDefault="008809D4" w:rsidP="008809D4">
            <w:pPr>
              <w:tabs>
                <w:tab w:val="clear" w:pos="1134"/>
                <w:tab w:val="clear" w:pos="1871"/>
                <w:tab w:val="clear" w:pos="2268"/>
              </w:tabs>
              <w:overflowPunct/>
              <w:autoSpaceDE/>
              <w:autoSpaceDN/>
              <w:adjustRightInd/>
              <w:spacing w:before="0"/>
              <w:jc w:val="center"/>
              <w:rPr>
                <w:rFonts w:ascii="Aptos Narrow" w:hAnsi="Aptos Narrow"/>
                <w:color w:val="000000"/>
                <w:szCs w:val="24"/>
                <w:lang w:val="en-US" w:eastAsia="ja-JP" w:bidi="he-IL"/>
              </w:rPr>
            </w:pPr>
            <w:r w:rsidRPr="008809D4">
              <w:rPr>
                <w:rFonts w:ascii="Aptos Narrow" w:hAnsi="Aptos Narrow"/>
                <w:color w:val="000000"/>
                <w:szCs w:val="24"/>
                <w:lang w:val="en-US" w:eastAsia="ja-JP" w:bidi="he-IL"/>
              </w:rPr>
              <w:t>200</w:t>
            </w:r>
          </w:p>
        </w:tc>
      </w:tr>
      <w:tr w:rsidR="008809D4" w:rsidRPr="008809D4" w14:paraId="002FAA9E" w14:textId="77777777" w:rsidTr="008809D4">
        <w:trPr>
          <w:trHeight w:val="320"/>
        </w:trPr>
        <w:tc>
          <w:tcPr>
            <w:tcW w:w="2180" w:type="dxa"/>
            <w:tcBorders>
              <w:top w:val="nil"/>
              <w:left w:val="nil"/>
              <w:bottom w:val="nil"/>
              <w:right w:val="nil"/>
            </w:tcBorders>
            <w:shd w:val="clear" w:color="auto" w:fill="auto"/>
            <w:noWrap/>
            <w:vAlign w:val="bottom"/>
            <w:hideMark/>
          </w:tcPr>
          <w:p w14:paraId="399E5BB7" w14:textId="77777777" w:rsidR="008809D4" w:rsidRPr="008809D4" w:rsidRDefault="008809D4" w:rsidP="008809D4">
            <w:pPr>
              <w:tabs>
                <w:tab w:val="clear" w:pos="1134"/>
                <w:tab w:val="clear" w:pos="1871"/>
                <w:tab w:val="clear" w:pos="2268"/>
              </w:tabs>
              <w:overflowPunct/>
              <w:autoSpaceDE/>
              <w:autoSpaceDN/>
              <w:adjustRightInd/>
              <w:spacing w:before="0"/>
              <w:jc w:val="center"/>
              <w:rPr>
                <w:rFonts w:ascii="Aptos Narrow" w:hAnsi="Aptos Narrow"/>
                <w:color w:val="000000"/>
                <w:szCs w:val="24"/>
                <w:lang w:val="en-US" w:eastAsia="ja-JP" w:bidi="he-IL"/>
              </w:rPr>
            </w:pPr>
            <w:r w:rsidRPr="008809D4">
              <w:rPr>
                <w:rFonts w:ascii="Aptos Narrow" w:hAnsi="Aptos Narrow"/>
                <w:color w:val="000000"/>
                <w:szCs w:val="24"/>
                <w:lang w:val="en-US" w:eastAsia="ja-JP" w:bidi="he-IL"/>
              </w:rPr>
              <w:t>200</w:t>
            </w:r>
          </w:p>
        </w:tc>
        <w:tc>
          <w:tcPr>
            <w:tcW w:w="2020" w:type="dxa"/>
            <w:tcBorders>
              <w:top w:val="nil"/>
              <w:left w:val="nil"/>
              <w:bottom w:val="nil"/>
              <w:right w:val="nil"/>
            </w:tcBorders>
            <w:shd w:val="clear" w:color="auto" w:fill="auto"/>
            <w:noWrap/>
            <w:vAlign w:val="bottom"/>
            <w:hideMark/>
          </w:tcPr>
          <w:p w14:paraId="0B315FAA" w14:textId="77777777" w:rsidR="008809D4" w:rsidRPr="008809D4" w:rsidRDefault="008809D4" w:rsidP="008809D4">
            <w:pPr>
              <w:tabs>
                <w:tab w:val="clear" w:pos="1134"/>
                <w:tab w:val="clear" w:pos="1871"/>
                <w:tab w:val="clear" w:pos="2268"/>
              </w:tabs>
              <w:overflowPunct/>
              <w:autoSpaceDE/>
              <w:autoSpaceDN/>
              <w:adjustRightInd/>
              <w:spacing w:before="0"/>
              <w:jc w:val="center"/>
              <w:rPr>
                <w:rFonts w:ascii="Aptos Narrow" w:hAnsi="Aptos Narrow"/>
                <w:color w:val="000000"/>
                <w:szCs w:val="24"/>
                <w:lang w:val="en-US" w:eastAsia="ja-JP" w:bidi="he-IL"/>
              </w:rPr>
            </w:pPr>
            <w:r w:rsidRPr="008809D4">
              <w:rPr>
                <w:rFonts w:ascii="Aptos Narrow" w:hAnsi="Aptos Narrow"/>
                <w:color w:val="000000"/>
                <w:szCs w:val="24"/>
                <w:lang w:val="en-US" w:eastAsia="ja-JP" w:bidi="he-IL"/>
              </w:rPr>
              <w:t>150</w:t>
            </w:r>
          </w:p>
        </w:tc>
      </w:tr>
      <w:tr w:rsidR="008809D4" w:rsidRPr="008809D4" w14:paraId="32E31BF4" w14:textId="77777777" w:rsidTr="008809D4">
        <w:trPr>
          <w:trHeight w:val="320"/>
        </w:trPr>
        <w:tc>
          <w:tcPr>
            <w:tcW w:w="2180" w:type="dxa"/>
            <w:tcBorders>
              <w:top w:val="nil"/>
              <w:left w:val="nil"/>
              <w:bottom w:val="nil"/>
              <w:right w:val="nil"/>
            </w:tcBorders>
            <w:shd w:val="clear" w:color="auto" w:fill="auto"/>
            <w:noWrap/>
            <w:vAlign w:val="bottom"/>
            <w:hideMark/>
          </w:tcPr>
          <w:p w14:paraId="3FB1292B" w14:textId="77777777" w:rsidR="008809D4" w:rsidRPr="008809D4" w:rsidRDefault="008809D4" w:rsidP="008809D4">
            <w:pPr>
              <w:tabs>
                <w:tab w:val="clear" w:pos="1134"/>
                <w:tab w:val="clear" w:pos="1871"/>
                <w:tab w:val="clear" w:pos="2268"/>
              </w:tabs>
              <w:overflowPunct/>
              <w:autoSpaceDE/>
              <w:autoSpaceDN/>
              <w:adjustRightInd/>
              <w:spacing w:before="0"/>
              <w:jc w:val="center"/>
              <w:rPr>
                <w:rFonts w:ascii="Aptos Narrow" w:hAnsi="Aptos Narrow"/>
                <w:color w:val="000000"/>
                <w:szCs w:val="24"/>
                <w:lang w:val="en-US" w:eastAsia="ja-JP" w:bidi="he-IL"/>
              </w:rPr>
            </w:pPr>
            <w:r w:rsidRPr="008809D4">
              <w:rPr>
                <w:rFonts w:ascii="Aptos Narrow" w:hAnsi="Aptos Narrow"/>
                <w:color w:val="000000"/>
                <w:szCs w:val="24"/>
                <w:lang w:val="en-US" w:eastAsia="ja-JP" w:bidi="he-IL"/>
              </w:rPr>
              <w:t>275</w:t>
            </w:r>
          </w:p>
        </w:tc>
        <w:tc>
          <w:tcPr>
            <w:tcW w:w="2020" w:type="dxa"/>
            <w:tcBorders>
              <w:top w:val="nil"/>
              <w:left w:val="nil"/>
              <w:bottom w:val="nil"/>
              <w:right w:val="nil"/>
            </w:tcBorders>
            <w:shd w:val="clear" w:color="auto" w:fill="auto"/>
            <w:noWrap/>
            <w:vAlign w:val="bottom"/>
            <w:hideMark/>
          </w:tcPr>
          <w:p w14:paraId="0A853230" w14:textId="77777777" w:rsidR="008809D4" w:rsidRPr="008809D4" w:rsidRDefault="008809D4" w:rsidP="008809D4">
            <w:pPr>
              <w:tabs>
                <w:tab w:val="clear" w:pos="1134"/>
                <w:tab w:val="clear" w:pos="1871"/>
                <w:tab w:val="clear" w:pos="2268"/>
              </w:tabs>
              <w:overflowPunct/>
              <w:autoSpaceDE/>
              <w:autoSpaceDN/>
              <w:adjustRightInd/>
              <w:spacing w:before="0"/>
              <w:jc w:val="center"/>
              <w:rPr>
                <w:rFonts w:ascii="Aptos Narrow" w:hAnsi="Aptos Narrow"/>
                <w:color w:val="000000"/>
                <w:szCs w:val="24"/>
                <w:lang w:val="en-US" w:eastAsia="ja-JP" w:bidi="he-IL"/>
              </w:rPr>
            </w:pPr>
            <w:r w:rsidRPr="008809D4">
              <w:rPr>
                <w:rFonts w:ascii="Aptos Narrow" w:hAnsi="Aptos Narrow"/>
                <w:color w:val="000000"/>
                <w:szCs w:val="24"/>
                <w:lang w:val="en-US" w:eastAsia="ja-JP" w:bidi="he-IL"/>
              </w:rPr>
              <w:t>109</w:t>
            </w:r>
          </w:p>
        </w:tc>
      </w:tr>
    </w:tbl>
    <w:p w14:paraId="1ABDC0CC" w14:textId="71DEA357" w:rsidR="009221A4" w:rsidRDefault="008809D4">
      <w:r w:rsidRPr="008809D4">
        <w:rPr>
          <w:b/>
          <w:bCs/>
        </w:rPr>
        <w:t>Figure</w:t>
      </w:r>
      <w:r>
        <w:rPr>
          <w:b/>
          <w:bCs/>
        </w:rPr>
        <w:t xml:space="preserve"> </w:t>
      </w:r>
      <w:r w:rsidR="00A86808">
        <w:rPr>
          <w:b/>
          <w:bCs/>
        </w:rPr>
        <w:t>3.1</w:t>
      </w:r>
      <w:r>
        <w:rPr>
          <w:b/>
          <w:bCs/>
        </w:rPr>
        <w:t>:</w:t>
      </w:r>
      <w:r w:rsidRPr="008809D4">
        <w:rPr>
          <w:b/>
          <w:bCs/>
        </w:rPr>
        <w:t xml:space="preserve"> </w:t>
      </w:r>
      <w:r w:rsidRPr="008809D4">
        <w:t>“Massive MIMO”-like antenna size</w:t>
      </w:r>
      <w:r>
        <w:t xml:space="preserve"> at different frequencies</w:t>
      </w:r>
    </w:p>
    <w:p w14:paraId="7C978E79" w14:textId="241187F0" w:rsidR="008809D4" w:rsidRPr="008809D4" w:rsidRDefault="008809D4">
      <w:r>
        <w:lastRenderedPageBreak/>
        <w:t xml:space="preserve">Thus, sharing studies </w:t>
      </w:r>
      <w:proofErr w:type="gramStart"/>
      <w:r>
        <w:t>have to</w:t>
      </w:r>
      <w:proofErr w:type="gramEnd"/>
      <w:r>
        <w:t xml:space="preserve"> be based on practical antennas at these frequencies, not just extrapolations of standard antennas that are commercially available at lower bands.</w:t>
      </w:r>
    </w:p>
    <w:p w14:paraId="079048C8" w14:textId="77777777" w:rsidR="008809D4" w:rsidRPr="008809D4" w:rsidRDefault="008809D4"/>
    <w:p w14:paraId="4F98DA9A" w14:textId="15A4F020" w:rsidR="008809D4" w:rsidRPr="0030476C" w:rsidRDefault="008809D4" w:rsidP="008809D4">
      <w:pPr>
        <w:keepNext/>
        <w:keepLines/>
        <w:spacing w:before="200"/>
        <w:ind w:left="1134" w:hanging="1134"/>
        <w:outlineLvl w:val="1"/>
        <w:rPr>
          <w:b/>
        </w:rPr>
      </w:pPr>
      <w:r w:rsidRPr="0030476C">
        <w:rPr>
          <w:b/>
        </w:rPr>
        <w:t>3.</w:t>
      </w:r>
      <w:r w:rsidR="005B2DA2">
        <w:rPr>
          <w:b/>
        </w:rPr>
        <w:t>2</w:t>
      </w:r>
      <w:r w:rsidRPr="0030476C">
        <w:rPr>
          <w:b/>
        </w:rPr>
        <w:tab/>
      </w:r>
      <w:r w:rsidR="005B2DA2">
        <w:rPr>
          <w:b/>
        </w:rPr>
        <w:t>Sharing based on suppressing of high elevation angle sidelobes</w:t>
      </w:r>
    </w:p>
    <w:p w14:paraId="2206BD3C" w14:textId="3291FE9B" w:rsidR="008809D4" w:rsidRDefault="00A86808">
      <w:r>
        <w:t>Antenna theory shows us that while all finite sized antennas must have sidelobes, there is not theoretical minimum limit for the sidelobe in a specific direction.  A major goal in antenna design is to move the inevitable sidelobes to direction</w:t>
      </w:r>
      <w:r w:rsidR="005F18D7">
        <w:t>s</w:t>
      </w:r>
      <w:r>
        <w:t xml:space="preserve"> where they do not impact system operation.  If sharing with passive satellites is a key system goal that means that radiation in upper elevation angles with low path low must be supressed just like radar antenna designers suppress receive sidelobes in directions that would facilitates jamming. The figure below</w:t>
      </w:r>
      <w:r>
        <w:rPr>
          <w:rStyle w:val="FootnoteReference"/>
        </w:rPr>
        <w:footnoteReference w:id="7"/>
      </w:r>
      <w:r>
        <w:t xml:space="preserve"> shows a case of a conventional antenna pattern and a pattern where a constraint in adjecting the </w:t>
      </w:r>
      <w:r w:rsidR="00651CB5">
        <w:t>antenna elements was suppressing high elevation angle radiation.</w:t>
      </w:r>
    </w:p>
    <w:p w14:paraId="7246B621" w14:textId="77777777" w:rsidR="00A86808" w:rsidRDefault="00A86808"/>
    <w:p w14:paraId="52C6D534" w14:textId="7946EA91" w:rsidR="00A86808" w:rsidRDefault="00A86808">
      <w:r w:rsidRPr="00A86808">
        <w:drawing>
          <wp:inline distT="0" distB="0" distL="0" distR="0" wp14:anchorId="30A1B04B" wp14:editId="5FF058C6">
            <wp:extent cx="5930900" cy="2870200"/>
            <wp:effectExtent l="0" t="0" r="0" b="0"/>
            <wp:docPr id="1701186598" name="Picture 1" descr="A graph of a satell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86598" name="Picture 1" descr="A graph of a satellite&#10;&#10;Description automatically generated with medium confidence"/>
                    <pic:cNvPicPr/>
                  </pic:nvPicPr>
                  <pic:blipFill>
                    <a:blip r:embed="rId17"/>
                    <a:stretch>
                      <a:fillRect/>
                    </a:stretch>
                  </pic:blipFill>
                  <pic:spPr>
                    <a:xfrm>
                      <a:off x="0" y="0"/>
                      <a:ext cx="5930900" cy="2870200"/>
                    </a:xfrm>
                    <a:prstGeom prst="rect">
                      <a:avLst/>
                    </a:prstGeom>
                  </pic:spPr>
                </pic:pic>
              </a:graphicData>
            </a:graphic>
          </wp:inline>
        </w:drawing>
      </w:r>
    </w:p>
    <w:p w14:paraId="5E43BB1D" w14:textId="79F5DACA" w:rsidR="005B2DA2" w:rsidRDefault="00A86808" w:rsidP="00A86808">
      <w:r w:rsidRPr="00A86808">
        <w:rPr>
          <w:b/>
          <w:bCs/>
        </w:rPr>
        <w:t>Figure 3.3</w:t>
      </w:r>
      <w:r>
        <w:rPr>
          <w:b/>
          <w:bCs/>
        </w:rPr>
        <w:t xml:space="preserve"> </w:t>
      </w:r>
      <w:r w:rsidRPr="00A86808">
        <w:t>Utilization of active suppression on the skyward directions</w:t>
      </w:r>
      <w:r>
        <w:t xml:space="preserve"> </w:t>
      </w:r>
      <w:r w:rsidRPr="00A86808">
        <w:t>during the array synthesis can suppress unwanted emissions. In</w:t>
      </w:r>
      <w:r>
        <w:t xml:space="preserve"> </w:t>
      </w:r>
      <w:r w:rsidRPr="00A86808">
        <w:t>both cases, the desired angle of steering is 30◦ below the horizon.</w:t>
      </w:r>
      <w:r>
        <w:t xml:space="preserve"> </w:t>
      </w:r>
      <w:proofErr w:type="gramStart"/>
      <w:r>
        <w:t>(</w:t>
      </w:r>
      <w:proofErr w:type="gramEnd"/>
      <w:r w:rsidRPr="00A86808">
        <w:t>a) Conventional beamforming. (b) Smart beamforming.</w:t>
      </w:r>
    </w:p>
    <w:p w14:paraId="6073F026" w14:textId="77777777" w:rsidR="000B22FF" w:rsidRDefault="000B22FF" w:rsidP="00A86808"/>
    <w:p w14:paraId="18D1CB8B" w14:textId="00848DDA" w:rsidR="000B22FF" w:rsidRPr="00A86808" w:rsidRDefault="000B22FF" w:rsidP="00A86808">
      <w:r>
        <w:t xml:space="preserve">In general, EESS(p) satellites may get potentially interfering Fixed Service signals from several transmitters located in several countries. </w:t>
      </w:r>
      <w:proofErr w:type="gramStart"/>
      <w:r>
        <w:t xml:space="preserve">In order </w:t>
      </w:r>
      <w:r w:rsidR="000E6735">
        <w:t>to</w:t>
      </w:r>
      <w:proofErr w:type="gramEnd"/>
      <w:r w:rsidR="000E6735">
        <w:t xml:space="preserve"> </w:t>
      </w:r>
      <w:r>
        <w:t xml:space="preserve">prevent levels </w:t>
      </w:r>
      <w:r w:rsidR="000E6735">
        <w:t xml:space="preserve">at the satellite receiver </w:t>
      </w:r>
      <w:r>
        <w:t>that would violate the requirement of Res. 731 there would have to be limit on both emission levels an</w:t>
      </w:r>
      <w:r w:rsidR="000E6735">
        <w:t>d</w:t>
      </w:r>
      <w:r>
        <w:t xml:space="preserve"> in the geographic density of transmitters.  The emission limits could be stated as maximum eirp as a function of elevation angle.  Some administrations have already used such an approach for </w:t>
      </w:r>
      <w:r w:rsidRPr="000B22FF">
        <w:t>non</w:t>
      </w:r>
      <w:r>
        <w:rPr>
          <w:b/>
          <w:bCs/>
        </w:rPr>
        <w:t xml:space="preserve">-5.340 </w:t>
      </w:r>
      <w:r w:rsidRPr="000B22FF">
        <w:t>bands</w:t>
      </w:r>
      <w:r>
        <w:t xml:space="preserve"> with shared Fixed and EESS(p) allocations.  The area </w:t>
      </w:r>
      <w:r w:rsidR="003618E6">
        <w:t>for</w:t>
      </w:r>
      <w:r>
        <w:t xml:space="preserve"> density limitation</w:t>
      </w:r>
      <w:r w:rsidR="003618E6">
        <w:t xml:space="preserve"> limits should be comparable to the largest ground footprint area of any of the EESS(p) satellites in that band.</w:t>
      </w:r>
    </w:p>
    <w:p w14:paraId="0A0B4EA2" w14:textId="155F647E" w:rsidR="005B2DA2" w:rsidRDefault="005B2DA2" w:rsidP="005B2DA2">
      <w:pPr>
        <w:keepNext/>
        <w:keepLines/>
        <w:spacing w:before="200"/>
        <w:ind w:left="1134" w:hanging="1134"/>
        <w:outlineLvl w:val="1"/>
        <w:rPr>
          <w:b/>
        </w:rPr>
      </w:pPr>
      <w:r w:rsidRPr="0030476C">
        <w:rPr>
          <w:b/>
        </w:rPr>
        <w:lastRenderedPageBreak/>
        <w:t>3.</w:t>
      </w:r>
      <w:r>
        <w:rPr>
          <w:b/>
        </w:rPr>
        <w:t>3</w:t>
      </w:r>
      <w:r w:rsidRPr="0030476C">
        <w:rPr>
          <w:b/>
        </w:rPr>
        <w:tab/>
      </w:r>
      <w:r>
        <w:rPr>
          <w:b/>
        </w:rPr>
        <w:t xml:space="preserve">Sharing based on nulling of power towards azimuth, and elevation of EESS(p) satellite during orbit pass </w:t>
      </w:r>
    </w:p>
    <w:p w14:paraId="0BCE3707" w14:textId="6D3A5700" w:rsidR="005B2DA2" w:rsidRPr="009E0BF8" w:rsidRDefault="00651CB5" w:rsidP="009E0BF8">
      <w:pPr>
        <w:keepNext/>
        <w:keepLines/>
        <w:spacing w:before="200"/>
        <w:ind w:hanging="1134"/>
        <w:outlineLvl w:val="1"/>
        <w:rPr>
          <w:bCs/>
        </w:rPr>
      </w:pPr>
      <w:r>
        <w:rPr>
          <w:bCs/>
        </w:rPr>
        <w:tab/>
      </w:r>
      <w:r w:rsidRPr="00651CB5">
        <w:rPr>
          <w:bCs/>
        </w:rPr>
        <w:t>Most of the discussion of multielement antennas at present deals with MI</w:t>
      </w:r>
      <w:r>
        <w:rPr>
          <w:bCs/>
        </w:rPr>
        <w:t>M</w:t>
      </w:r>
      <w:r w:rsidRPr="00651CB5">
        <w:rPr>
          <w:bCs/>
        </w:rPr>
        <w:t>O</w:t>
      </w:r>
      <w:r>
        <w:rPr>
          <w:bCs/>
        </w:rPr>
        <w:t xml:space="preserve"> antenna technology for efficient transfer from transmit antennas to receive antennas.  But the basic process of complex weights for power in various antenna elements can also be used to null the antenna pattern, for both transmission </w:t>
      </w:r>
      <w:proofErr w:type="gramStart"/>
      <w:r>
        <w:rPr>
          <w:bCs/>
        </w:rPr>
        <w:t>or</w:t>
      </w:r>
      <w:proofErr w:type="gramEnd"/>
      <w:r>
        <w:rPr>
          <w:bCs/>
        </w:rPr>
        <w:t xml:space="preserve"> reception, in a specific direction.</w:t>
      </w:r>
      <w:r>
        <w:rPr>
          <w:rStyle w:val="FootnoteReference"/>
          <w:bCs/>
        </w:rPr>
        <w:footnoteReference w:id="8"/>
      </w:r>
      <w:r>
        <w:rPr>
          <w:bCs/>
        </w:rPr>
        <w:t xml:space="preserve">  In the literature, this usually done but adjusting the antenna element weights to minimize the total power received when there is interference.  But the same process of weight adjustment for form a null could be done if the direction of the desired null is known. The orbit ephemeris data of most</w:t>
      </w:r>
      <w:r w:rsidR="009E0BF8">
        <w:rPr>
          <w:bCs/>
        </w:rPr>
        <w:t xml:space="preserve">, or possibly </w:t>
      </w:r>
      <w:proofErr w:type="gramStart"/>
      <w:r w:rsidR="009E0BF8">
        <w:rPr>
          <w:bCs/>
        </w:rPr>
        <w:t xml:space="preserve">all, </w:t>
      </w:r>
      <w:r>
        <w:rPr>
          <w:bCs/>
        </w:rPr>
        <w:t xml:space="preserve"> EESS</w:t>
      </w:r>
      <w:proofErr w:type="gramEnd"/>
      <w:r>
        <w:rPr>
          <w:bCs/>
        </w:rPr>
        <w:t>(p)</w:t>
      </w:r>
      <w:r w:rsidR="009E0BF8">
        <w:rPr>
          <w:bCs/>
        </w:rPr>
        <w:t xml:space="preserve"> s</w:t>
      </w:r>
      <w:r w:rsidR="009E0BF8" w:rsidRPr="009E0BF8">
        <w:rPr>
          <w:bCs/>
        </w:rPr>
        <w:t>atellites</w:t>
      </w:r>
      <w:r w:rsidRPr="009E0BF8">
        <w:rPr>
          <w:bCs/>
        </w:rPr>
        <w:t xml:space="preserve"> </w:t>
      </w:r>
      <w:r w:rsidR="009E0BF8" w:rsidRPr="009E0BF8">
        <w:rPr>
          <w:bCs/>
        </w:rPr>
        <w:t>are presently known and publicly available althou</w:t>
      </w:r>
      <w:r w:rsidR="009E0BF8">
        <w:rPr>
          <w:bCs/>
        </w:rPr>
        <w:t>gh</w:t>
      </w:r>
      <w:r w:rsidR="009E0BF8" w:rsidRPr="009E0BF8">
        <w:rPr>
          <w:bCs/>
        </w:rPr>
        <w:t xml:space="preserve"> pres</w:t>
      </w:r>
      <w:r w:rsidR="009E0BF8">
        <w:rPr>
          <w:bCs/>
        </w:rPr>
        <w:t>e</w:t>
      </w:r>
      <w:r w:rsidR="009E0BF8" w:rsidRPr="009E0BF8">
        <w:rPr>
          <w:bCs/>
        </w:rPr>
        <w:t>nt ITU policies do not</w:t>
      </w:r>
      <w:r w:rsidR="009E0BF8">
        <w:rPr>
          <w:bCs/>
        </w:rPr>
        <w:t xml:space="preserve"> administrations to reveal such parameters.  If protection of EESS(p) satellites required such orbit disclosure and updating, Fixed Services links in bands with authorized sharing could choose to protect the satellites by placing a null in the azimuth/elevation pair of the satellite location when it rises above the horizon and move the null until the satellite disappears below the horizon.</w:t>
      </w:r>
    </w:p>
    <w:p w14:paraId="0510AC01" w14:textId="42B9CEAB" w:rsidR="005B2DA2" w:rsidRDefault="005B2DA2" w:rsidP="005B2DA2">
      <w:pPr>
        <w:keepNext/>
        <w:keepLines/>
        <w:spacing w:before="200"/>
        <w:ind w:left="1134" w:hanging="1134"/>
        <w:outlineLvl w:val="1"/>
        <w:rPr>
          <w:b/>
        </w:rPr>
      </w:pPr>
      <w:r w:rsidRPr="0030476C">
        <w:rPr>
          <w:b/>
        </w:rPr>
        <w:t>3.</w:t>
      </w:r>
      <w:r>
        <w:rPr>
          <w:b/>
        </w:rPr>
        <w:t>3</w:t>
      </w:r>
      <w:r w:rsidRPr="0030476C">
        <w:rPr>
          <w:b/>
        </w:rPr>
        <w:tab/>
      </w:r>
      <w:r>
        <w:rPr>
          <w:b/>
        </w:rPr>
        <w:t>Sharing</w:t>
      </w:r>
      <w:r>
        <w:rPr>
          <w:b/>
        </w:rPr>
        <w:t xml:space="preserve"> based on adaptive routing in a </w:t>
      </w:r>
      <w:proofErr w:type="spellStart"/>
      <w:r>
        <w:rPr>
          <w:b/>
        </w:rPr>
        <w:t>polygrid</w:t>
      </w:r>
      <w:proofErr w:type="spellEnd"/>
      <w:r w:rsidR="009E0BF8">
        <w:rPr>
          <w:b/>
        </w:rPr>
        <w:t>/mesh</w:t>
      </w:r>
      <w:r>
        <w:rPr>
          <w:b/>
        </w:rPr>
        <w:t xml:space="preserve"> terrestrial network</w:t>
      </w:r>
    </w:p>
    <w:p w14:paraId="361A6920" w14:textId="363B1B5C" w:rsidR="005B2DA2" w:rsidRPr="009E0BF8" w:rsidRDefault="009E0BF8" w:rsidP="009E0BF8">
      <w:pPr>
        <w:keepNext/>
        <w:keepLines/>
        <w:spacing w:before="200"/>
        <w:ind w:hanging="1134"/>
        <w:outlineLvl w:val="1"/>
        <w:rPr>
          <w:bCs/>
        </w:rPr>
      </w:pPr>
      <w:r>
        <w:rPr>
          <w:bCs/>
        </w:rPr>
        <w:tab/>
      </w:r>
      <w:r w:rsidRPr="009E0BF8">
        <w:rPr>
          <w:bCs/>
        </w:rPr>
        <w:t>Additional protection of passive satellites could</w:t>
      </w:r>
      <w:r>
        <w:rPr>
          <w:bCs/>
        </w:rPr>
        <w:t xml:space="preserve"> </w:t>
      </w:r>
      <w:r w:rsidRPr="009E0BF8">
        <w:rPr>
          <w:bCs/>
        </w:rPr>
        <w:t>be achiev</w:t>
      </w:r>
      <w:r>
        <w:rPr>
          <w:bCs/>
        </w:rPr>
        <w:t xml:space="preserve">ed in </w:t>
      </w:r>
      <w:proofErr w:type="spellStart"/>
      <w:proofErr w:type="gramStart"/>
      <w:r>
        <w:rPr>
          <w:bCs/>
        </w:rPr>
        <w:t>polygrid</w:t>
      </w:r>
      <w:proofErr w:type="spellEnd"/>
      <w:proofErr w:type="gramEnd"/>
      <w:r>
        <w:rPr>
          <w:bCs/>
        </w:rPr>
        <w:t xml:space="preserve"> or mesh networks as shown below</w:t>
      </w:r>
    </w:p>
    <w:p w14:paraId="5DFCA349" w14:textId="5F5A0380" w:rsidR="005B2DA2" w:rsidRDefault="009E0BF8" w:rsidP="005B2DA2">
      <w:pPr>
        <w:keepNext/>
        <w:keepLines/>
        <w:spacing w:before="200"/>
        <w:ind w:left="1134" w:hanging="1134"/>
        <w:outlineLvl w:val="1"/>
      </w:pPr>
      <w:r>
        <w:fldChar w:fldCharType="begin"/>
      </w:r>
      <w:r>
        <w:instrText xml:space="preserve"> INCLUDEPICTURE "https://www.bluetooth.com/wp-content/uploads/2017/03/fundamental_part1_fig1.jpg" \* MERGEFORMATINET </w:instrText>
      </w:r>
      <w:r>
        <w:fldChar w:fldCharType="separate"/>
      </w:r>
      <w:r>
        <w:rPr>
          <w:noProof/>
        </w:rPr>
        <w:drawing>
          <wp:inline distT="0" distB="0" distL="0" distR="0" wp14:anchorId="6396AA7C" wp14:editId="5F750ACA">
            <wp:extent cx="3052697" cy="2623625"/>
            <wp:effectExtent l="0" t="0" r="0" b="5715"/>
            <wp:docPr id="1611398016" name="Picture 5" descr="The Fundamental Concepts ofBluetooth Mesh Networking Part 1 | Bluetooth®  Technology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Fundamental Concepts ofBluetooth Mesh Networking Part 1 | Bluetooth®  Technology 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7874" cy="2645264"/>
                    </a:xfrm>
                    <a:prstGeom prst="rect">
                      <a:avLst/>
                    </a:prstGeom>
                    <a:noFill/>
                    <a:ln>
                      <a:noFill/>
                    </a:ln>
                  </pic:spPr>
                </pic:pic>
              </a:graphicData>
            </a:graphic>
          </wp:inline>
        </w:drawing>
      </w:r>
      <w:r>
        <w:fldChar w:fldCharType="end"/>
      </w:r>
    </w:p>
    <w:p w14:paraId="3F663A80" w14:textId="5831A74F" w:rsidR="000B22FF" w:rsidRPr="00D45251" w:rsidRDefault="009E0BF8" w:rsidP="00D45251">
      <w:pPr>
        <w:keepNext/>
        <w:keepLines/>
        <w:spacing w:before="200"/>
        <w:ind w:left="1134" w:hanging="1134"/>
        <w:outlineLvl w:val="1"/>
      </w:pPr>
      <w:r w:rsidRPr="009E0BF8">
        <w:rPr>
          <w:b/>
          <w:bCs/>
        </w:rPr>
        <w:t>Figure 3.4</w:t>
      </w:r>
      <w:r>
        <w:rPr>
          <w:b/>
          <w:bCs/>
        </w:rPr>
        <w:t>;</w:t>
      </w:r>
      <w:r>
        <w:t xml:space="preserve"> </w:t>
      </w:r>
      <w:proofErr w:type="spellStart"/>
      <w:r>
        <w:t>Polygrid</w:t>
      </w:r>
      <w:proofErr w:type="spellEnd"/>
      <w:r>
        <w:t xml:space="preserve"> or mesh network</w:t>
      </w:r>
    </w:p>
    <w:p w14:paraId="3CDA0F17" w14:textId="0E67536F" w:rsidR="00D45251" w:rsidRDefault="000B22FF" w:rsidP="00D45251">
      <w:pPr>
        <w:keepNext/>
        <w:keepLines/>
        <w:spacing w:before="200"/>
        <w:outlineLvl w:val="1"/>
        <w:rPr>
          <w:bCs/>
        </w:rPr>
      </w:pPr>
      <w:r w:rsidRPr="000B22FF">
        <w:rPr>
          <w:bCs/>
        </w:rPr>
        <w:t>The routing of information in such a netwo</w:t>
      </w:r>
      <w:r>
        <w:rPr>
          <w:bCs/>
        </w:rPr>
        <w:t>r</w:t>
      </w:r>
      <w:r w:rsidRPr="000B22FF">
        <w:rPr>
          <w:bCs/>
        </w:rPr>
        <w:t>k could then be based</w:t>
      </w:r>
      <w:r>
        <w:rPr>
          <w:bCs/>
        </w:rPr>
        <w:t xml:space="preserve"> </w:t>
      </w:r>
      <w:r w:rsidRPr="000B22FF">
        <w:rPr>
          <w:bCs/>
        </w:rPr>
        <w:t>on</w:t>
      </w:r>
      <w:r>
        <w:rPr>
          <w:bCs/>
        </w:rPr>
        <w:t xml:space="preserve"> </w:t>
      </w:r>
      <w:r w:rsidRPr="000B22FF">
        <w:rPr>
          <w:bCs/>
        </w:rPr>
        <w:t>the sidelobe</w:t>
      </w:r>
      <w:r>
        <w:rPr>
          <w:bCs/>
        </w:rPr>
        <w:t xml:space="preserve"> levels</w:t>
      </w:r>
      <w:r w:rsidRPr="000B22FF">
        <w:rPr>
          <w:bCs/>
        </w:rPr>
        <w:t xml:space="preserve"> of each transmitter</w:t>
      </w:r>
      <w:r>
        <w:rPr>
          <w:bCs/>
        </w:rPr>
        <w:t xml:space="preserve"> and chosen to assure that exposure of EESS(p) satellites in the band being used stays below the allowable limits specified in Res. 731.  This would require more transmitters and more sites than would normally be required for a Fixed network, the goal of Res. 731 is not to have sharing without a burden, but to have “burden sharing”</w:t>
      </w:r>
      <w:r w:rsidR="00D45251">
        <w:rPr>
          <w:bCs/>
        </w:rPr>
        <w:t>.</w:t>
      </w:r>
    </w:p>
    <w:p w14:paraId="2CF870F6" w14:textId="77777777" w:rsidR="00D45251" w:rsidRDefault="00D45251">
      <w:pPr>
        <w:tabs>
          <w:tab w:val="clear" w:pos="1134"/>
          <w:tab w:val="clear" w:pos="1871"/>
          <w:tab w:val="clear" w:pos="2268"/>
        </w:tabs>
        <w:overflowPunct/>
        <w:autoSpaceDE/>
        <w:autoSpaceDN/>
        <w:adjustRightInd/>
        <w:spacing w:before="0"/>
        <w:rPr>
          <w:bCs/>
        </w:rPr>
      </w:pPr>
      <w:r>
        <w:rPr>
          <w:bCs/>
        </w:rPr>
        <w:br w:type="page"/>
      </w:r>
    </w:p>
    <w:p w14:paraId="183D9AC6" w14:textId="77777777" w:rsidR="000B22FF" w:rsidRPr="000B22FF" w:rsidRDefault="000B22FF" w:rsidP="00D45251">
      <w:pPr>
        <w:keepNext/>
        <w:keepLines/>
        <w:spacing w:before="200"/>
        <w:outlineLvl w:val="1"/>
        <w:rPr>
          <w:bCs/>
        </w:rPr>
      </w:pPr>
    </w:p>
    <w:p w14:paraId="327FCB44" w14:textId="7CFB1435" w:rsidR="005B2DA2" w:rsidRDefault="005B2DA2" w:rsidP="005B2DA2">
      <w:pPr>
        <w:pStyle w:val="Heading1"/>
        <w:rPr>
          <w:lang w:val="en-US"/>
        </w:rPr>
      </w:pPr>
      <w:r>
        <w:rPr>
          <w:lang w:val="en-US"/>
        </w:rPr>
        <w:t>4</w:t>
      </w:r>
      <w:r w:rsidRPr="00C91295">
        <w:rPr>
          <w:lang w:val="en-US"/>
        </w:rPr>
        <w:tab/>
      </w:r>
      <w:r>
        <w:rPr>
          <w:lang w:val="en-US"/>
        </w:rPr>
        <w:t xml:space="preserve">Possible </w:t>
      </w:r>
      <w:r>
        <w:rPr>
          <w:lang w:val="en-US"/>
        </w:rPr>
        <w:t xml:space="preserve">burden sharing </w:t>
      </w:r>
      <w:r>
        <w:rPr>
          <w:lang w:val="en-US"/>
        </w:rPr>
        <w:t>mechanisms</w:t>
      </w:r>
    </w:p>
    <w:p w14:paraId="307627C5" w14:textId="77777777" w:rsidR="005B2DA2" w:rsidRDefault="005B2DA2" w:rsidP="005B2DA2">
      <w:pPr>
        <w:rPr>
          <w:lang w:val="en-US"/>
        </w:rPr>
      </w:pPr>
    </w:p>
    <w:p w14:paraId="231C559D" w14:textId="05C7979E" w:rsidR="005B2DA2" w:rsidRDefault="005B2DA2" w:rsidP="005B2DA2">
      <w:pPr>
        <w:rPr>
          <w:lang w:val="en-US"/>
        </w:rPr>
      </w:pPr>
      <w:r>
        <w:rPr>
          <w:lang w:val="en-US"/>
        </w:rPr>
        <w:t xml:space="preserve">The original text of Res. 731 adopted at WRC-2000 </w:t>
      </w:r>
      <w:r w:rsidR="005F18D7">
        <w:rPr>
          <w:lang w:val="en-US"/>
        </w:rPr>
        <w:t>as well as the</w:t>
      </w:r>
      <w:r>
        <w:rPr>
          <w:lang w:val="en-US"/>
        </w:rPr>
        <w:t xml:space="preserve"> two later updates all contain the following references to “burden sharing”:</w:t>
      </w:r>
    </w:p>
    <w:p w14:paraId="4832AFE4" w14:textId="046A69B7" w:rsidR="005B2DA2" w:rsidRDefault="005B2DA2" w:rsidP="005B2DA2">
      <w:pPr>
        <w:rPr>
          <w:i/>
          <w:iCs/>
          <w:lang w:val="en-US"/>
        </w:rPr>
      </w:pPr>
      <w:r>
        <w:rPr>
          <w:lang w:val="en-US"/>
        </w:rPr>
        <w:t xml:space="preserve"> </w:t>
      </w:r>
      <w:r>
        <w:rPr>
          <w:i/>
          <w:iCs/>
          <w:lang w:val="en-US"/>
        </w:rPr>
        <w:t>Recognizing b)</w:t>
      </w:r>
    </w:p>
    <w:p w14:paraId="3C7DD285" w14:textId="58F4F39D" w:rsidR="005B2DA2" w:rsidRDefault="005B2DA2" w:rsidP="005B2DA2">
      <w:pPr>
        <w:ind w:left="720"/>
        <w:rPr>
          <w:lang w:val="en-US"/>
        </w:rPr>
      </w:pPr>
      <w:r>
        <w:rPr>
          <w:lang w:val="en-US"/>
        </w:rPr>
        <w:t xml:space="preserve"> </w:t>
      </w:r>
      <w:r w:rsidRPr="005B2DA2">
        <w:rPr>
          <w:lang w:val="en-US"/>
        </w:rPr>
        <w:t xml:space="preserve">that, to the extent practicable, the burden of sharing among active and passive services should be equitably distributed among the services to which allocations are made, </w:t>
      </w:r>
    </w:p>
    <w:p w14:paraId="2318FE0D" w14:textId="77777777" w:rsidR="005B2DA2" w:rsidRDefault="005B2DA2" w:rsidP="005B2DA2">
      <w:pPr>
        <w:ind w:left="720"/>
        <w:rPr>
          <w:lang w:val="en-US"/>
        </w:rPr>
      </w:pPr>
    </w:p>
    <w:p w14:paraId="7FDB0AB0" w14:textId="50971E60" w:rsidR="005B2DA2" w:rsidRDefault="005B2DA2" w:rsidP="005B2DA2">
      <w:pPr>
        <w:rPr>
          <w:lang w:val="en-US"/>
        </w:rPr>
      </w:pPr>
      <w:r w:rsidRPr="005B2DA2">
        <w:rPr>
          <w:i/>
          <w:iCs/>
          <w:lang w:val="en-US"/>
        </w:rPr>
        <w:t xml:space="preserve">invites the ITU Radiocommunication Sector </w:t>
      </w:r>
      <w:r>
        <w:rPr>
          <w:lang w:val="en-US"/>
        </w:rPr>
        <w:t>5</w:t>
      </w:r>
    </w:p>
    <w:p w14:paraId="78EC0B4B" w14:textId="565156D8" w:rsidR="005B2DA2" w:rsidRDefault="005B2DA2" w:rsidP="00CB5FA2">
      <w:pPr>
        <w:ind w:left="720"/>
        <w:rPr>
          <w:szCs w:val="24"/>
          <w:lang w:val="en-US"/>
        </w:rPr>
      </w:pPr>
      <w:r w:rsidRPr="005B2DA2">
        <w:rPr>
          <w:szCs w:val="24"/>
          <w:lang w:val="en-US"/>
        </w:rPr>
        <w:t xml:space="preserve">to take into account the principles of burden-sharing to the extent practicable in their </w:t>
      </w:r>
      <w:proofErr w:type="gramStart"/>
      <w:r w:rsidRPr="005B2DA2">
        <w:rPr>
          <w:szCs w:val="24"/>
          <w:lang w:val="en-US"/>
        </w:rPr>
        <w:t>studies;</w:t>
      </w:r>
      <w:proofErr w:type="gramEnd"/>
    </w:p>
    <w:p w14:paraId="3077E09C" w14:textId="77777777" w:rsidR="00CB5FA2" w:rsidRDefault="00CB5FA2" w:rsidP="00CB5FA2">
      <w:pPr>
        <w:ind w:left="720"/>
        <w:rPr>
          <w:szCs w:val="24"/>
          <w:lang w:val="en-US"/>
        </w:rPr>
      </w:pPr>
    </w:p>
    <w:p w14:paraId="7365BC70" w14:textId="12104C05" w:rsidR="005B2DA2" w:rsidRPr="00CB5FA2" w:rsidRDefault="005B2DA2" w:rsidP="005B2DA2">
      <w:pPr>
        <w:rPr>
          <w:szCs w:val="24"/>
          <w:lang w:val="en-US"/>
        </w:rPr>
      </w:pPr>
      <w:r w:rsidRPr="00CB5FA2">
        <w:rPr>
          <w:szCs w:val="24"/>
          <w:lang w:val="en-US"/>
        </w:rPr>
        <w:t>This section discusses some options that could be considered.</w:t>
      </w:r>
    </w:p>
    <w:p w14:paraId="57A9F0CA" w14:textId="77777777" w:rsidR="005B2DA2" w:rsidRDefault="005B2DA2" w:rsidP="005B2DA2">
      <w:pPr>
        <w:rPr>
          <w:sz w:val="22"/>
          <w:szCs w:val="22"/>
          <w:lang w:val="en-US"/>
        </w:rPr>
      </w:pPr>
    </w:p>
    <w:p w14:paraId="3CEE18BF" w14:textId="0CA248B7" w:rsidR="005B2DA2" w:rsidRPr="005B2DA2" w:rsidRDefault="005B2DA2" w:rsidP="005B2DA2">
      <w:pPr>
        <w:rPr>
          <w:sz w:val="22"/>
          <w:szCs w:val="22"/>
          <w:lang w:val="en-US"/>
        </w:rPr>
      </w:pPr>
      <w:r>
        <w:rPr>
          <w:b/>
        </w:rPr>
        <w:t>4.1</w:t>
      </w:r>
      <w:r w:rsidRPr="0030476C">
        <w:rPr>
          <w:b/>
        </w:rPr>
        <w:tab/>
      </w:r>
      <w:r w:rsidR="004F6DF2">
        <w:rPr>
          <w:b/>
        </w:rPr>
        <w:t>Interservice c</w:t>
      </w:r>
      <w:r>
        <w:rPr>
          <w:b/>
        </w:rPr>
        <w:t xml:space="preserve">oordination of future changes to </w:t>
      </w:r>
      <w:r w:rsidR="004F6DF2" w:rsidRPr="004F6DF2">
        <w:rPr>
          <w:b/>
        </w:rPr>
        <w:t>Recommendation ITU-R RS.1861-1</w:t>
      </w:r>
    </w:p>
    <w:p w14:paraId="2474810F" w14:textId="77777777" w:rsidR="005B2DA2" w:rsidRDefault="005B2DA2" w:rsidP="005B2DA2">
      <w:pPr>
        <w:rPr>
          <w:lang w:val="en-US"/>
        </w:rPr>
      </w:pPr>
    </w:p>
    <w:p w14:paraId="017BCF05" w14:textId="0E166FAB" w:rsidR="004F6DF2" w:rsidRPr="005B2DA2" w:rsidRDefault="004F6DF2" w:rsidP="005B2DA2">
      <w:pPr>
        <w:rPr>
          <w:lang w:val="en-US"/>
        </w:rPr>
      </w:pPr>
      <w:r>
        <w:rPr>
          <w:lang w:val="en-US"/>
        </w:rPr>
        <w:t xml:space="preserve">EESS(p) satellites take years to develop and are then placed in orbit for multiyear periods where they </w:t>
      </w:r>
      <w:proofErr w:type="spellStart"/>
      <w:r>
        <w:rPr>
          <w:lang w:val="en-US"/>
        </w:rPr>
        <w:t>can not</w:t>
      </w:r>
      <w:proofErr w:type="spellEnd"/>
      <w:r>
        <w:rPr>
          <w:lang w:val="en-US"/>
        </w:rPr>
        <w:t xml:space="preserve"> practically be updated in most cases.  </w:t>
      </w:r>
      <w:proofErr w:type="gramStart"/>
      <w:r>
        <w:rPr>
          <w:lang w:val="en-US"/>
        </w:rPr>
        <w:t>Thus</w:t>
      </w:r>
      <w:proofErr w:type="gramEnd"/>
      <w:r>
        <w:rPr>
          <w:lang w:val="en-US"/>
        </w:rPr>
        <w:t xml:space="preserve"> any sharing must focus mainly on the currently generation of such satellites that are either in orbit or are well along in the development and authorization process.  The technical parameters of these that impact interservice interference as well as sharing potential are given in </w:t>
      </w:r>
      <w:r w:rsidRPr="004F6DF2">
        <w:rPr>
          <w:lang w:val="en-US"/>
        </w:rPr>
        <w:t>ITU-R RS.1861-1</w:t>
      </w:r>
      <w:r>
        <w:rPr>
          <w:rStyle w:val="FootnoteReference"/>
          <w:lang w:val="en-US"/>
        </w:rPr>
        <w:footnoteReference w:id="9"/>
      </w:r>
      <w:r>
        <w:rPr>
          <w:lang w:val="en-US"/>
        </w:rPr>
        <w:t xml:space="preserve">.  </w:t>
      </w:r>
    </w:p>
    <w:p w14:paraId="3D01961A" w14:textId="1EBCB001" w:rsidR="004F6DF2" w:rsidRDefault="004F6DF2" w:rsidP="004F6DF2">
      <w:r>
        <w:rPr>
          <w:lang w:val="en-US"/>
        </w:rPr>
        <w:t xml:space="preserve">In Res. 731, </w:t>
      </w:r>
      <w:r>
        <w:rPr>
          <w:i/>
          <w:iCs/>
          <w:lang w:val="en-US"/>
        </w:rPr>
        <w:t xml:space="preserve">Recognizing </w:t>
      </w:r>
      <w:proofErr w:type="spellStart"/>
      <w:r>
        <w:rPr>
          <w:i/>
          <w:iCs/>
          <w:lang w:val="en-US"/>
        </w:rPr>
        <w:t>i</w:t>
      </w:r>
      <w:proofErr w:type="spellEnd"/>
      <w:r>
        <w:rPr>
          <w:i/>
          <w:iCs/>
          <w:lang w:val="en-US"/>
        </w:rPr>
        <w:t>)</w:t>
      </w:r>
      <w:r>
        <w:rPr>
          <w:lang w:val="en-US"/>
        </w:rPr>
        <w:t xml:space="preserve"> states</w:t>
      </w:r>
      <w:r>
        <w:rPr>
          <w:i/>
          <w:iCs/>
          <w:lang w:val="en-US"/>
        </w:rPr>
        <w:t xml:space="preserve"> “</w:t>
      </w:r>
      <w:r w:rsidRPr="004F6DF2">
        <w:rPr>
          <w:lang w:val="en-US"/>
        </w:rPr>
        <w:t>that interference criteria for passive sensors have been developed and are given in Recommendation ITU-R RS.2017</w:t>
      </w:r>
      <w:r>
        <w:rPr>
          <w:lang w:val="en-US"/>
        </w:rPr>
        <w:t xml:space="preserve">”.  In practice </w:t>
      </w:r>
      <w:r w:rsidR="001F6B97">
        <w:rPr>
          <w:lang w:val="en-US"/>
        </w:rPr>
        <w:t>such potential interference</w:t>
      </w:r>
      <w:r>
        <w:rPr>
          <w:lang w:val="en-US"/>
        </w:rPr>
        <w:t xml:space="preserve"> requires information about the EESS(p) satellite involved that is given in </w:t>
      </w:r>
      <w:r w:rsidR="001F6B97">
        <w:rPr>
          <w:lang w:val="en-US"/>
        </w:rPr>
        <w:t xml:space="preserve">Table 1 of </w:t>
      </w:r>
      <w:r>
        <w:t>RS.1861-</w:t>
      </w:r>
      <w:r w:rsidR="001F6B97">
        <w:t>1</w:t>
      </w:r>
      <w:r>
        <w:t>.</w:t>
      </w:r>
    </w:p>
    <w:p w14:paraId="563AE35F" w14:textId="355F0AF2" w:rsidR="001F6B97" w:rsidRDefault="001F6B97" w:rsidP="001F6B97">
      <w:pPr>
        <w:rPr>
          <w:lang w:val="en-US"/>
        </w:rPr>
      </w:pPr>
      <w:r>
        <w:t xml:space="preserve">In the future new satellite designs will be entered in </w:t>
      </w:r>
      <w:r w:rsidRPr="004F6DF2">
        <w:rPr>
          <w:lang w:val="en-US"/>
        </w:rPr>
        <w:t>ITU-R RS.1861-1</w:t>
      </w:r>
      <w:r>
        <w:rPr>
          <w:lang w:val="en-US"/>
        </w:rPr>
        <w:t xml:space="preserve"> and they will have different interference vulnerabilities.  One approach to “burden sharing” would be to require active coordination between WP7C and WP5C on the parameters of any new entries into Table 1 so that the designers of new EESS(p) satellites in 100-275 GHz and the designers of Fixed systems could have any exchange of views on the sensitivity analysis of various parameters on the their impact to interference to the EESS(p) satellite as determined by the factors in </w:t>
      </w:r>
      <w:r w:rsidRPr="004F6DF2">
        <w:rPr>
          <w:lang w:val="en-US"/>
        </w:rPr>
        <w:t>ITU-R RS.2017</w:t>
      </w:r>
      <w:r>
        <w:rPr>
          <w:lang w:val="en-US"/>
        </w:rPr>
        <w:t>.</w:t>
      </w:r>
    </w:p>
    <w:p w14:paraId="0402C7A1" w14:textId="009A44A2" w:rsidR="001F6B97" w:rsidRPr="004F6DF2" w:rsidRDefault="001F6B97" w:rsidP="004F6DF2">
      <w:pPr>
        <w:rPr>
          <w:lang w:val="en-US"/>
        </w:rPr>
      </w:pPr>
      <w:r>
        <w:rPr>
          <w:lang w:val="en-US"/>
        </w:rPr>
        <w:t>If this is successful, it might be possible to review existing entries in Table 1 and consider grandfathering the use of such parameters, and in effect the protection of such satellites, after some future date far enough in advance to allow present satellites and satellites in ground inventory and the production pipeline to be launched and fulfill an economic service life.</w:t>
      </w:r>
      <w:r w:rsidR="00DC05AD">
        <w:rPr>
          <w:lang w:val="en-US"/>
        </w:rPr>
        <w:t xml:space="preserve"> Thus over a long multiyear</w:t>
      </w:r>
      <w:r w:rsidR="005F18D7">
        <w:rPr>
          <w:lang w:val="en-US"/>
        </w:rPr>
        <w:t>,</w:t>
      </w:r>
      <w:r w:rsidR="00DC05AD">
        <w:rPr>
          <w:lang w:val="en-US"/>
        </w:rPr>
        <w:t xml:space="preserve"> </w:t>
      </w:r>
      <w:r w:rsidR="005F18D7">
        <w:rPr>
          <w:lang w:val="en-US"/>
        </w:rPr>
        <w:t xml:space="preserve">or possibly multidecade </w:t>
      </w:r>
      <w:r w:rsidR="00DC05AD">
        <w:rPr>
          <w:lang w:val="en-US"/>
        </w:rPr>
        <w:t>period</w:t>
      </w:r>
      <w:r w:rsidR="005F18D7">
        <w:rPr>
          <w:lang w:val="en-US"/>
        </w:rPr>
        <w:t>,</w:t>
      </w:r>
      <w:r w:rsidR="00DC05AD">
        <w:rPr>
          <w:lang w:val="en-US"/>
        </w:rPr>
        <w:t xml:space="preserve"> the sharing potential may be gradually improved.</w:t>
      </w:r>
      <w:r w:rsidR="005F18D7">
        <w:rPr>
          <w:lang w:val="en-US"/>
        </w:rPr>
        <w:t>,</w:t>
      </w:r>
    </w:p>
    <w:p w14:paraId="07A00171" w14:textId="00E84B26" w:rsidR="005B2DA2" w:rsidRPr="004F6DF2" w:rsidRDefault="005B2DA2" w:rsidP="005B2DA2">
      <w:pPr>
        <w:rPr>
          <w:lang w:val="en-US"/>
        </w:rPr>
      </w:pPr>
    </w:p>
    <w:p w14:paraId="66DE3E8F" w14:textId="654304DF" w:rsidR="005B2DA2" w:rsidRDefault="00DC05AD" w:rsidP="005B2DA2">
      <w:pPr>
        <w:keepNext/>
        <w:keepLines/>
        <w:spacing w:before="200"/>
        <w:ind w:left="1134" w:hanging="1134"/>
        <w:outlineLvl w:val="1"/>
        <w:rPr>
          <w:b/>
        </w:rPr>
      </w:pPr>
      <w:r>
        <w:rPr>
          <w:b/>
        </w:rPr>
        <w:t>4.</w:t>
      </w:r>
      <w:r>
        <w:rPr>
          <w:b/>
        </w:rPr>
        <w:t>2</w:t>
      </w:r>
      <w:r w:rsidRPr="0030476C">
        <w:rPr>
          <w:b/>
        </w:rPr>
        <w:tab/>
      </w:r>
      <w:r>
        <w:rPr>
          <w:b/>
        </w:rPr>
        <w:t xml:space="preserve">Orbit parameter </w:t>
      </w:r>
      <w:r w:rsidR="00CB5FA2">
        <w:rPr>
          <w:b/>
        </w:rPr>
        <w:t>coordination</w:t>
      </w:r>
      <w:r>
        <w:rPr>
          <w:b/>
        </w:rPr>
        <w:t xml:space="preserve"> in </w:t>
      </w:r>
      <w:r w:rsidR="00CB5FA2">
        <w:rPr>
          <w:b/>
        </w:rPr>
        <w:t xml:space="preserve">passive </w:t>
      </w:r>
      <w:r>
        <w:rPr>
          <w:b/>
        </w:rPr>
        <w:t>bands subject to sharing</w:t>
      </w:r>
    </w:p>
    <w:p w14:paraId="098D4E7A" w14:textId="79C47ADB" w:rsidR="00DC05AD" w:rsidRPr="00DC05AD" w:rsidRDefault="00DC05AD" w:rsidP="00DC05AD">
      <w:pPr>
        <w:keepNext/>
        <w:keepLines/>
        <w:tabs>
          <w:tab w:val="clear" w:pos="1134"/>
          <w:tab w:val="left" w:pos="90"/>
        </w:tabs>
        <w:spacing w:before="200"/>
        <w:ind w:firstLine="36"/>
        <w:outlineLvl w:val="1"/>
        <w:rPr>
          <w:bCs/>
        </w:rPr>
      </w:pPr>
      <w:r w:rsidRPr="00DC05AD">
        <w:rPr>
          <w:bCs/>
        </w:rPr>
        <w:t xml:space="preserve">Some </w:t>
      </w:r>
      <w:r>
        <w:rPr>
          <w:bCs/>
        </w:rPr>
        <w:t>of</w:t>
      </w:r>
      <w:r w:rsidRPr="00DC05AD">
        <w:rPr>
          <w:bCs/>
        </w:rPr>
        <w:t xml:space="preserve"> the sharing approaches described previously will not work effectively if </w:t>
      </w:r>
      <w:proofErr w:type="gramStart"/>
      <w:r w:rsidRPr="00DC05AD">
        <w:rPr>
          <w:bCs/>
        </w:rPr>
        <w:t>a la</w:t>
      </w:r>
      <w:r>
        <w:rPr>
          <w:bCs/>
        </w:rPr>
        <w:t>rge number of</w:t>
      </w:r>
      <w:proofErr w:type="gramEnd"/>
      <w:r>
        <w:rPr>
          <w:bCs/>
        </w:rPr>
        <w:t xml:space="preserve"> EESS(p) NGSO satellites are visible at the location of the transmitting antennas at a given time. For example, a multielement antenna can create nulls in the direction of a satellites as its passes over, but will have a limit, based on its number of elements and antennas size, on how many nulls it can generated at a given time. For passive bands that are subject to sharing this might be addressed by requiring that in future satellites be in orbits planned to limit the number of satellites visible over inhabited land masses.  For example, satellites might pass “in formation” as is presently done with the </w:t>
      </w:r>
      <w:r w:rsidRPr="00DC05AD">
        <w:rPr>
          <w:bCs/>
        </w:rPr>
        <w:t>A-train Satellite Constellation</w:t>
      </w:r>
      <w:r>
        <w:rPr>
          <w:rStyle w:val="FootnoteReference"/>
          <w:bCs/>
        </w:rPr>
        <w:footnoteReference w:id="10"/>
      </w:r>
      <w:r w:rsidR="00CB5FA2">
        <w:rPr>
          <w:bCs/>
        </w:rPr>
        <w:t>.  Alternatively, satellite operators might coordinate other satellite orbits to limit to an agreed maximum the number of passive satellites in the band in question that are visible simultaneously over inhabited areas.  Such satellite orbits limitations are not without burdens, for example they may require fuel consumption on the satellite for orbit corrections.   Res. 731 does not require that spectrum sharing be without any burden, it does require consideration of “burden sharing” and any such change would have to be decided on at a future World Radio Conference.</w:t>
      </w:r>
    </w:p>
    <w:p w14:paraId="556BD243" w14:textId="77777777" w:rsidR="00DC05AD" w:rsidRPr="00DC05AD" w:rsidRDefault="00DC05AD">
      <w:pPr>
        <w:keepNext/>
        <w:keepLines/>
        <w:spacing w:before="200"/>
        <w:ind w:left="1134" w:hanging="1134"/>
        <w:outlineLvl w:val="1"/>
        <w:rPr>
          <w:bCs/>
        </w:rPr>
      </w:pPr>
    </w:p>
    <w:sectPr w:rsidR="00DC05AD" w:rsidRPr="00DC05AD" w:rsidSect="00D0271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48C542" w14:textId="77777777" w:rsidR="003564D1" w:rsidRDefault="003564D1">
      <w:r>
        <w:separator/>
      </w:r>
    </w:p>
  </w:endnote>
  <w:endnote w:type="continuationSeparator" w:id="0">
    <w:p w14:paraId="255AB3B5" w14:textId="77777777" w:rsidR="003564D1" w:rsidRDefault="00356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G Times">
    <w:altName w:val="Times New Roman"/>
    <w:panose1 w:val="020B0604020202020204"/>
    <w:charset w:val="00"/>
    <w:family w:val="roman"/>
    <w:pitch w:val="variable"/>
    <w:sig w:usb0="00000007" w:usb1="00000000" w:usb2="00000000" w:usb3="00000000" w:csb0="00000093" w:csb1="00000000"/>
  </w:font>
  <w:font w:name="Times New Roman Bold">
    <w:altName w:val="Times New Roman"/>
    <w:panose1 w:val="020B06040202020202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Narrow">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D092B" w14:textId="77777777" w:rsidR="003564D1" w:rsidRDefault="003564D1">
      <w:r>
        <w:t>____________________</w:t>
      </w:r>
    </w:p>
  </w:footnote>
  <w:footnote w:type="continuationSeparator" w:id="0">
    <w:p w14:paraId="0D148D3D" w14:textId="77777777" w:rsidR="003564D1" w:rsidRDefault="003564D1">
      <w:r>
        <w:continuationSeparator/>
      </w:r>
    </w:p>
  </w:footnote>
  <w:footnote w:id="1">
    <w:p w14:paraId="7F3DA196" w14:textId="424F0B31" w:rsidR="001D6A3E" w:rsidRPr="001D6A3E" w:rsidRDefault="001D6A3E" w:rsidP="001D6A3E">
      <w:pPr>
        <w:pStyle w:val="FootnoteText"/>
        <w:rPr>
          <w:lang w:val="en-US"/>
        </w:rPr>
      </w:pPr>
      <w:r>
        <w:rPr>
          <w:rStyle w:val="FootnoteReference"/>
        </w:rPr>
        <w:footnoteRef/>
      </w:r>
      <w:r>
        <w:t xml:space="preserve"> </w:t>
      </w:r>
      <w:r>
        <w:rPr>
          <w:lang w:val="en-US"/>
        </w:rPr>
        <w:t xml:space="preserve">ITU, </w:t>
      </w:r>
      <w:r w:rsidRPr="001D6A3E">
        <w:rPr>
          <w:lang w:val="en-US"/>
        </w:rPr>
        <w:t>Handbook on</w:t>
      </w:r>
      <w:r>
        <w:rPr>
          <w:lang w:val="en-US"/>
        </w:rPr>
        <w:t xml:space="preserve"> </w:t>
      </w:r>
      <w:r w:rsidRPr="001D6A3E">
        <w:rPr>
          <w:lang w:val="en-US"/>
        </w:rPr>
        <w:t>Radio Astronomy</w:t>
      </w:r>
      <w:r>
        <w:rPr>
          <w:lang w:val="en-US"/>
        </w:rPr>
        <w:t xml:space="preserve">, </w:t>
      </w:r>
      <w:r w:rsidRPr="001D6A3E">
        <w:rPr>
          <w:lang w:val="en-US"/>
        </w:rPr>
        <w:t>Third Edition</w:t>
      </w:r>
      <w:r>
        <w:rPr>
          <w:lang w:val="en-US"/>
        </w:rPr>
        <w:t>, 2013 (</w:t>
      </w:r>
      <w:r w:rsidRPr="001D6A3E">
        <w:rPr>
          <w:lang w:val="en-US"/>
        </w:rPr>
        <w:t>https://www.itu.int/dms_pub/itu-r/opb/hdb/R-HDB-22-2013-PDF-E.pdf</w:t>
      </w:r>
      <w:r>
        <w:rPr>
          <w:lang w:val="en-US"/>
        </w:rPr>
        <w:t>)</w:t>
      </w:r>
    </w:p>
  </w:footnote>
  <w:footnote w:id="2">
    <w:p w14:paraId="29122252" w14:textId="16A9AC92" w:rsidR="003D502A" w:rsidRPr="003D502A" w:rsidRDefault="003D502A" w:rsidP="003D502A">
      <w:pPr>
        <w:pStyle w:val="FootnoteText"/>
      </w:pPr>
      <w:r>
        <w:rPr>
          <w:rStyle w:val="FootnoteReference"/>
        </w:rPr>
        <w:footnoteRef/>
      </w:r>
      <w:r>
        <w:t xml:space="preserve"> </w:t>
      </w:r>
      <w:r>
        <w:t>Cisco Annual Internet Report</w:t>
      </w:r>
      <w:r>
        <w:t xml:space="preserve"> </w:t>
      </w:r>
      <w:r>
        <w:t>(2018–2023)</w:t>
      </w:r>
      <w:r>
        <w:t>,</w:t>
      </w:r>
    </w:p>
  </w:footnote>
  <w:footnote w:id="3">
    <w:p w14:paraId="249DB725" w14:textId="0FE5FA2D" w:rsidR="00211DAF" w:rsidRPr="00211DAF" w:rsidRDefault="00211DAF" w:rsidP="00211DAF">
      <w:pPr>
        <w:pStyle w:val="FootnoteText"/>
        <w:rPr>
          <w:lang w:val="en-US"/>
        </w:rPr>
      </w:pPr>
      <w:r>
        <w:rPr>
          <w:rStyle w:val="FootnoteReference"/>
        </w:rPr>
        <w:footnoteRef/>
      </w:r>
      <w:r>
        <w:t xml:space="preserve"> </w:t>
      </w:r>
      <w:r w:rsidRPr="00211DAF">
        <w:rPr>
          <w:lang w:val="en-US"/>
        </w:rPr>
        <w:t>Ericsson Microwave Outlook</w:t>
      </w:r>
      <w:r>
        <w:rPr>
          <w:lang w:val="en-US"/>
        </w:rPr>
        <w:t>. October 2023 (</w:t>
      </w:r>
      <w:r w:rsidRPr="00211DAF">
        <w:rPr>
          <w:lang w:val="en-US"/>
        </w:rPr>
        <w:t>https://www.ericsson.com/4a8056/assets/local/reports-papers/microwave-outlook/2023/ericsson-microwave-outlook-report-2023.pdf</w:t>
      </w:r>
      <w:r>
        <w:rPr>
          <w:lang w:val="en-US"/>
        </w:rPr>
        <w:t>)</w:t>
      </w:r>
    </w:p>
    <w:p w14:paraId="70C9F8C8" w14:textId="5187DBDC" w:rsidR="00211DAF" w:rsidRPr="00211DAF" w:rsidRDefault="00211DAF">
      <w:pPr>
        <w:pStyle w:val="FootnoteText"/>
        <w:rPr>
          <w:lang w:val="en-US"/>
        </w:rPr>
      </w:pPr>
    </w:p>
  </w:footnote>
  <w:footnote w:id="4">
    <w:p w14:paraId="0CE5D064" w14:textId="7B40363D" w:rsidR="009D61DB" w:rsidRPr="009D61DB" w:rsidRDefault="009D61DB" w:rsidP="009D61DB">
      <w:pPr>
        <w:pStyle w:val="FootnoteText"/>
        <w:rPr>
          <w:lang w:val="en-US"/>
        </w:rPr>
      </w:pPr>
      <w:r>
        <w:rPr>
          <w:rStyle w:val="FootnoteReference"/>
        </w:rPr>
        <w:footnoteRef/>
      </w:r>
      <w:r>
        <w:t xml:space="preserve"> </w:t>
      </w:r>
      <w:r w:rsidRPr="009D61DB">
        <w:t xml:space="preserve">M. </w:t>
      </w:r>
      <w:proofErr w:type="spellStart"/>
      <w:r w:rsidRPr="009D61DB">
        <w:t>Polese</w:t>
      </w:r>
      <w:proofErr w:type="spellEnd"/>
      <w:r w:rsidRPr="009D61DB">
        <w:t xml:space="preserve"> </w:t>
      </w:r>
      <w:r w:rsidRPr="009D61DB">
        <w:rPr>
          <w:i/>
          <w:iCs/>
        </w:rPr>
        <w:t>et al</w:t>
      </w:r>
      <w:r w:rsidRPr="009D61DB">
        <w:t xml:space="preserve">., "Coexistence and Spectrum Sharing Above 100 GHz," in </w:t>
      </w:r>
      <w:r w:rsidRPr="009D61DB">
        <w:rPr>
          <w:i/>
          <w:iCs/>
        </w:rPr>
        <w:t>Proceedings of the IEEE</w:t>
      </w:r>
      <w:r w:rsidRPr="009D61DB">
        <w:t xml:space="preserve">, vol. 111, no. 8, pp. 928-954, Aug. 2023, </w:t>
      </w:r>
      <w:proofErr w:type="spellStart"/>
      <w:r w:rsidRPr="009D61DB">
        <w:t>doi</w:t>
      </w:r>
      <w:proofErr w:type="spellEnd"/>
      <w:r w:rsidRPr="009D61DB">
        <w:t>: 10.1109/JPROC.2023.3286172</w:t>
      </w:r>
    </w:p>
  </w:footnote>
  <w:footnote w:id="5">
    <w:p w14:paraId="66AA1D0A" w14:textId="28115BD5" w:rsidR="009221A4" w:rsidRPr="009221A4" w:rsidRDefault="009221A4" w:rsidP="009221A4">
      <w:pPr>
        <w:pStyle w:val="FootnoteText"/>
      </w:pPr>
      <w:r>
        <w:rPr>
          <w:rStyle w:val="FootnoteReference"/>
        </w:rPr>
        <w:footnoteRef/>
      </w:r>
      <w:r>
        <w:t xml:space="preserve"> </w:t>
      </w:r>
      <w:r>
        <w:t>Recommendation ITU-R P.676-13</w:t>
      </w:r>
      <w:r>
        <w:t xml:space="preserve">, </w:t>
      </w:r>
      <w:r>
        <w:t>Attenuation by atmospheric gases and</w:t>
      </w:r>
      <w:r>
        <w:t xml:space="preserve"> </w:t>
      </w:r>
      <w:r>
        <w:t>related effects</w:t>
      </w:r>
      <w:r>
        <w:t xml:space="preserve">. </w:t>
      </w:r>
      <w:r>
        <w:t>(08/2022)</w:t>
      </w:r>
      <w:r>
        <w:t xml:space="preserve"> (</w:t>
      </w:r>
      <w:r w:rsidRPr="009221A4">
        <w:t>https://www.itu.int/dms_pubrec/itu-r/rec/p/R-REC-P.676-13-202208-I!!PDF-E.pdf</w:t>
      </w:r>
      <w:r>
        <w:t>)</w:t>
      </w:r>
    </w:p>
  </w:footnote>
  <w:footnote w:id="6">
    <w:p w14:paraId="280ABC4B" w14:textId="27569FD2" w:rsidR="00083746" w:rsidRPr="00083746" w:rsidRDefault="00083746" w:rsidP="00083746">
      <w:pPr>
        <w:pStyle w:val="FootnoteText"/>
        <w:rPr>
          <w:lang w:val="en-US"/>
        </w:rPr>
      </w:pPr>
      <w:r>
        <w:rPr>
          <w:rStyle w:val="FootnoteReference"/>
        </w:rPr>
        <w:footnoteRef/>
      </w:r>
      <w:r>
        <w:t xml:space="preserve"> </w:t>
      </w:r>
      <w:r w:rsidRPr="00083746">
        <w:t xml:space="preserve">M. Marcus, X. C. Roman and J. </w:t>
      </w:r>
      <w:proofErr w:type="spellStart"/>
      <w:r w:rsidRPr="00083746">
        <w:t>Jornet</w:t>
      </w:r>
      <w:proofErr w:type="spellEnd"/>
      <w:r w:rsidRPr="00083746">
        <w:t>, "</w:t>
      </w:r>
      <w:proofErr w:type="spellStart"/>
      <w:r w:rsidRPr="00083746">
        <w:t>Millimeter</w:t>
      </w:r>
      <w:proofErr w:type="spellEnd"/>
      <w:r w:rsidRPr="00083746">
        <w:t xml:space="preserve">-Wave Propagation: Spectrum Management Implications-An Update for &gt;100 GHz [Speaker’s Corner]," in </w:t>
      </w:r>
      <w:r w:rsidRPr="00083746">
        <w:rPr>
          <w:i/>
          <w:iCs/>
        </w:rPr>
        <w:t>IEEE Microwave Magazine</w:t>
      </w:r>
      <w:r w:rsidRPr="00083746">
        <w:t xml:space="preserve">, vol. 24, no. 1, pp. 91-94, Jan. 2023, </w:t>
      </w:r>
      <w:proofErr w:type="spellStart"/>
      <w:r w:rsidRPr="00083746">
        <w:t>doi</w:t>
      </w:r>
      <w:proofErr w:type="spellEnd"/>
      <w:r w:rsidRPr="00083746">
        <w:t>: 10.1109/MMM.2022.3211599</w:t>
      </w:r>
    </w:p>
  </w:footnote>
  <w:footnote w:id="7">
    <w:p w14:paraId="03235CD9" w14:textId="70B1A1F2" w:rsidR="00A86808" w:rsidRPr="00A86808" w:rsidRDefault="00A86808" w:rsidP="00A86808">
      <w:pPr>
        <w:pStyle w:val="FootnoteText"/>
      </w:pPr>
      <w:r>
        <w:rPr>
          <w:rStyle w:val="FootnoteReference"/>
        </w:rPr>
        <w:footnoteRef/>
      </w:r>
      <w:r>
        <w:t xml:space="preserve"> </w:t>
      </w:r>
      <w:r w:rsidRPr="00A86808">
        <w:t xml:space="preserve">M. </w:t>
      </w:r>
      <w:proofErr w:type="spellStart"/>
      <w:r w:rsidRPr="00A86808">
        <w:t>Polese</w:t>
      </w:r>
      <w:proofErr w:type="spellEnd"/>
      <w:r w:rsidRPr="00A86808">
        <w:t xml:space="preserve"> </w:t>
      </w:r>
      <w:r w:rsidRPr="00A86808">
        <w:rPr>
          <w:i/>
          <w:iCs/>
        </w:rPr>
        <w:t>et al</w:t>
      </w:r>
      <w:r w:rsidRPr="00A86808">
        <w:t xml:space="preserve">., "Coexistence and Spectrum Sharing Above 100 GHz," in </w:t>
      </w:r>
      <w:r w:rsidRPr="00A86808">
        <w:rPr>
          <w:i/>
          <w:iCs/>
        </w:rPr>
        <w:t>Proceedings of the IEEE</w:t>
      </w:r>
      <w:r w:rsidRPr="00A86808">
        <w:t xml:space="preserve">, vol. 111, no. 8, pp. 928-954, Aug. 2023, </w:t>
      </w:r>
      <w:proofErr w:type="spellStart"/>
      <w:r w:rsidRPr="00A86808">
        <w:t>doi</w:t>
      </w:r>
      <w:proofErr w:type="spellEnd"/>
      <w:r w:rsidRPr="00A86808">
        <w:t>: 10.1109/JPROC.2023.3286172</w:t>
      </w:r>
    </w:p>
  </w:footnote>
  <w:footnote w:id="8">
    <w:p w14:paraId="3D6397F1" w14:textId="55381EA5" w:rsidR="00651CB5" w:rsidRPr="00651CB5" w:rsidRDefault="00651CB5" w:rsidP="00651CB5">
      <w:pPr>
        <w:pStyle w:val="FootnoteText"/>
      </w:pPr>
      <w:r>
        <w:rPr>
          <w:rStyle w:val="FootnoteReference"/>
        </w:rPr>
        <w:footnoteRef/>
      </w:r>
      <w:r>
        <w:t xml:space="preserve"> </w:t>
      </w:r>
      <w:r w:rsidRPr="00651CB5">
        <w:t xml:space="preserve">B. </w:t>
      </w:r>
      <w:proofErr w:type="spellStart"/>
      <w:r w:rsidRPr="00651CB5">
        <w:t>Widrow</w:t>
      </w:r>
      <w:proofErr w:type="spellEnd"/>
      <w:r w:rsidRPr="00651CB5">
        <w:t xml:space="preserve">, P. E. </w:t>
      </w:r>
      <w:proofErr w:type="spellStart"/>
      <w:r w:rsidRPr="00651CB5">
        <w:t>Mantey</w:t>
      </w:r>
      <w:proofErr w:type="spellEnd"/>
      <w:r w:rsidRPr="00651CB5">
        <w:t xml:space="preserve">, L. J. Griffiths and B. B. Goode, "Adaptive antenna systems," in </w:t>
      </w:r>
      <w:r w:rsidRPr="00651CB5">
        <w:rPr>
          <w:i/>
          <w:iCs/>
        </w:rPr>
        <w:t>Proceedings of the IEEE</w:t>
      </w:r>
      <w:r w:rsidRPr="00651CB5">
        <w:t xml:space="preserve">, vol. 55, no. 12, pp. 2143-2159, Dec. 1967, </w:t>
      </w:r>
      <w:proofErr w:type="spellStart"/>
      <w:r w:rsidRPr="00651CB5">
        <w:t>doi</w:t>
      </w:r>
      <w:proofErr w:type="spellEnd"/>
      <w:r w:rsidRPr="00651CB5">
        <w:t>: 10.1109/PROC.1967.6092</w:t>
      </w:r>
    </w:p>
  </w:footnote>
  <w:footnote w:id="9">
    <w:p w14:paraId="03647276" w14:textId="77777777" w:rsidR="004F6DF2" w:rsidRDefault="004F6DF2" w:rsidP="004F6DF2">
      <w:pPr>
        <w:pStyle w:val="FootnoteText"/>
      </w:pPr>
      <w:r>
        <w:rPr>
          <w:rStyle w:val="FootnoteReference"/>
        </w:rPr>
        <w:footnoteRef/>
      </w:r>
      <w:r>
        <w:t xml:space="preserve"> Recommendation ITU-R RS.1861-1, Typical technical and operational characteristics of Earth exploration-satellite service (passive) systems using allocations between 1.4 and 275 GHz, (12/2021) (</w:t>
      </w:r>
      <w:r w:rsidRPr="004F6DF2">
        <w:t>https://www.itu.int/dms_pubrec/itu-r/rec/rs/R-REC-RS.1861-1-202112-I!!PDF-E.pdf</w:t>
      </w:r>
      <w:r>
        <w:t>)</w:t>
      </w:r>
    </w:p>
    <w:p w14:paraId="3F87CFDD" w14:textId="77777777" w:rsidR="004F6DF2" w:rsidRPr="004F6DF2" w:rsidRDefault="004F6DF2" w:rsidP="004F6DF2">
      <w:pPr>
        <w:pStyle w:val="FootnoteText"/>
        <w:rPr>
          <w:lang w:val="en-US"/>
        </w:rPr>
      </w:pPr>
    </w:p>
  </w:footnote>
  <w:footnote w:id="10">
    <w:p w14:paraId="38267AE0" w14:textId="0CFAD8D4" w:rsidR="00DC05AD" w:rsidRPr="00DC05AD" w:rsidRDefault="00DC05AD">
      <w:pPr>
        <w:pStyle w:val="FootnoteText"/>
        <w:rPr>
          <w:lang w:val="en-US"/>
        </w:rPr>
      </w:pPr>
      <w:r>
        <w:rPr>
          <w:rStyle w:val="FootnoteReference"/>
        </w:rPr>
        <w:footnoteRef/>
      </w:r>
      <w:r>
        <w:t xml:space="preserve"> </w:t>
      </w:r>
      <w:r w:rsidR="00CB5FA2" w:rsidRPr="00CB5FA2">
        <w:t>https://science.nasa.gov/earth-science/a-train-satellite-constellation/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F7566"/>
    <w:multiLevelType w:val="hybridMultilevel"/>
    <w:tmpl w:val="1F4CF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EB4A7C"/>
    <w:multiLevelType w:val="hybridMultilevel"/>
    <w:tmpl w:val="E74E5DE8"/>
    <w:lvl w:ilvl="0" w:tplc="173E0830">
      <w:start w:val="1"/>
      <w:numFmt w:val="bullet"/>
      <w:pStyle w:val="ECCBulletsLv1"/>
      <w:lvlText w:val=""/>
      <w:lvlJc w:val="left"/>
      <w:pPr>
        <w:ind w:left="6598" w:hanging="360"/>
      </w:pPr>
      <w:rPr>
        <w:rFonts w:ascii="Wingdings" w:hAnsi="Wingdings" w:hint="default"/>
        <w:color w:val="D2232A"/>
      </w:rPr>
    </w:lvl>
    <w:lvl w:ilvl="1" w:tplc="04070003">
      <w:start w:val="1"/>
      <w:numFmt w:val="bullet"/>
      <w:lvlText w:val="o"/>
      <w:lvlJc w:val="left"/>
      <w:pPr>
        <w:ind w:left="7678" w:hanging="360"/>
      </w:pPr>
      <w:rPr>
        <w:rFonts w:ascii="Courier New" w:hAnsi="Courier New" w:cs="Courier New" w:hint="default"/>
      </w:rPr>
    </w:lvl>
    <w:lvl w:ilvl="2" w:tplc="04070005">
      <w:start w:val="1"/>
      <w:numFmt w:val="bullet"/>
      <w:lvlText w:val=""/>
      <w:lvlJc w:val="left"/>
      <w:pPr>
        <w:ind w:left="8398" w:hanging="360"/>
      </w:pPr>
      <w:rPr>
        <w:rFonts w:ascii="Wingdings" w:hAnsi="Wingdings" w:hint="default"/>
      </w:rPr>
    </w:lvl>
    <w:lvl w:ilvl="3" w:tplc="04070001">
      <w:start w:val="1"/>
      <w:numFmt w:val="bullet"/>
      <w:lvlText w:val=""/>
      <w:lvlJc w:val="left"/>
      <w:pPr>
        <w:ind w:left="9118" w:hanging="360"/>
      </w:pPr>
      <w:rPr>
        <w:rFonts w:ascii="Symbol" w:hAnsi="Symbol" w:hint="default"/>
      </w:rPr>
    </w:lvl>
    <w:lvl w:ilvl="4" w:tplc="04070003">
      <w:start w:val="1"/>
      <w:numFmt w:val="bullet"/>
      <w:lvlText w:val="o"/>
      <w:lvlJc w:val="left"/>
      <w:pPr>
        <w:ind w:left="9838" w:hanging="360"/>
      </w:pPr>
      <w:rPr>
        <w:rFonts w:ascii="Courier New" w:hAnsi="Courier New" w:cs="Courier New" w:hint="default"/>
      </w:rPr>
    </w:lvl>
    <w:lvl w:ilvl="5" w:tplc="04070005">
      <w:start w:val="1"/>
      <w:numFmt w:val="bullet"/>
      <w:lvlText w:val=""/>
      <w:lvlJc w:val="left"/>
      <w:pPr>
        <w:ind w:left="10558" w:hanging="360"/>
      </w:pPr>
      <w:rPr>
        <w:rFonts w:ascii="Wingdings" w:hAnsi="Wingdings" w:hint="default"/>
      </w:rPr>
    </w:lvl>
    <w:lvl w:ilvl="6" w:tplc="04070001">
      <w:start w:val="1"/>
      <w:numFmt w:val="bullet"/>
      <w:lvlText w:val=""/>
      <w:lvlJc w:val="left"/>
      <w:pPr>
        <w:ind w:left="11278" w:hanging="360"/>
      </w:pPr>
      <w:rPr>
        <w:rFonts w:ascii="Symbol" w:hAnsi="Symbol" w:hint="default"/>
      </w:rPr>
    </w:lvl>
    <w:lvl w:ilvl="7" w:tplc="04070003">
      <w:start w:val="1"/>
      <w:numFmt w:val="bullet"/>
      <w:lvlText w:val="o"/>
      <w:lvlJc w:val="left"/>
      <w:pPr>
        <w:ind w:left="11998" w:hanging="360"/>
      </w:pPr>
      <w:rPr>
        <w:rFonts w:ascii="Courier New" w:hAnsi="Courier New" w:cs="Courier New" w:hint="default"/>
      </w:rPr>
    </w:lvl>
    <w:lvl w:ilvl="8" w:tplc="04070005">
      <w:start w:val="1"/>
      <w:numFmt w:val="bullet"/>
      <w:lvlText w:val=""/>
      <w:lvlJc w:val="left"/>
      <w:pPr>
        <w:ind w:left="12718" w:hanging="360"/>
      </w:pPr>
      <w:rPr>
        <w:rFonts w:ascii="Wingdings" w:hAnsi="Wingdings" w:hint="default"/>
      </w:rPr>
    </w:lvl>
  </w:abstractNum>
  <w:abstractNum w:abstractNumId="2" w15:restartNumberingAfterBreak="0">
    <w:nsid w:val="63D40F3B"/>
    <w:multiLevelType w:val="hybridMultilevel"/>
    <w:tmpl w:val="088AF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97670435">
    <w:abstractNumId w:val="1"/>
  </w:num>
  <w:num w:numId="2" w16cid:durableId="398016110">
    <w:abstractNumId w:val="0"/>
  </w:num>
  <w:num w:numId="3" w16cid:durableId="17296493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4B2"/>
    <w:rsid w:val="000069D4"/>
    <w:rsid w:val="000174AD"/>
    <w:rsid w:val="00033CF6"/>
    <w:rsid w:val="00047A1D"/>
    <w:rsid w:val="000604B9"/>
    <w:rsid w:val="00083746"/>
    <w:rsid w:val="00083AD2"/>
    <w:rsid w:val="000A1544"/>
    <w:rsid w:val="000A7D55"/>
    <w:rsid w:val="000B22FF"/>
    <w:rsid w:val="000C12C8"/>
    <w:rsid w:val="000C2E8E"/>
    <w:rsid w:val="000D226B"/>
    <w:rsid w:val="000E0E7C"/>
    <w:rsid w:val="000E6735"/>
    <w:rsid w:val="000F1B4B"/>
    <w:rsid w:val="0012744F"/>
    <w:rsid w:val="00131178"/>
    <w:rsid w:val="001467FC"/>
    <w:rsid w:val="00156F66"/>
    <w:rsid w:val="00161E76"/>
    <w:rsid w:val="00163271"/>
    <w:rsid w:val="00172122"/>
    <w:rsid w:val="00182528"/>
    <w:rsid w:val="0018500B"/>
    <w:rsid w:val="00196A19"/>
    <w:rsid w:val="001D6A3E"/>
    <w:rsid w:val="001F6B97"/>
    <w:rsid w:val="00202DC1"/>
    <w:rsid w:val="002116EE"/>
    <w:rsid w:val="00211DAF"/>
    <w:rsid w:val="0022324E"/>
    <w:rsid w:val="002309D8"/>
    <w:rsid w:val="00253D9C"/>
    <w:rsid w:val="00293459"/>
    <w:rsid w:val="002A7FE2"/>
    <w:rsid w:val="002C5E14"/>
    <w:rsid w:val="002E1B4F"/>
    <w:rsid w:val="002F2E67"/>
    <w:rsid w:val="002F7CB3"/>
    <w:rsid w:val="00306853"/>
    <w:rsid w:val="00315546"/>
    <w:rsid w:val="0032078E"/>
    <w:rsid w:val="00330567"/>
    <w:rsid w:val="003564D1"/>
    <w:rsid w:val="003618E6"/>
    <w:rsid w:val="00380A76"/>
    <w:rsid w:val="00386A9D"/>
    <w:rsid w:val="00391081"/>
    <w:rsid w:val="00391295"/>
    <w:rsid w:val="003B2789"/>
    <w:rsid w:val="003B328E"/>
    <w:rsid w:val="003C13CE"/>
    <w:rsid w:val="003C697E"/>
    <w:rsid w:val="003D502A"/>
    <w:rsid w:val="003E2518"/>
    <w:rsid w:val="003E7CEF"/>
    <w:rsid w:val="00406BD9"/>
    <w:rsid w:val="00437951"/>
    <w:rsid w:val="00442E39"/>
    <w:rsid w:val="00460DCD"/>
    <w:rsid w:val="00474DC8"/>
    <w:rsid w:val="004B1EF7"/>
    <w:rsid w:val="004B3FAD"/>
    <w:rsid w:val="004C5749"/>
    <w:rsid w:val="004F6DF2"/>
    <w:rsid w:val="00501DCA"/>
    <w:rsid w:val="00513A47"/>
    <w:rsid w:val="005408DF"/>
    <w:rsid w:val="00573344"/>
    <w:rsid w:val="00576211"/>
    <w:rsid w:val="00580C53"/>
    <w:rsid w:val="00583F9B"/>
    <w:rsid w:val="0059546F"/>
    <w:rsid w:val="005B0D29"/>
    <w:rsid w:val="005B2DA2"/>
    <w:rsid w:val="005C3A6C"/>
    <w:rsid w:val="005D5372"/>
    <w:rsid w:val="005E5C10"/>
    <w:rsid w:val="005F18D7"/>
    <w:rsid w:val="005F2C78"/>
    <w:rsid w:val="006144E4"/>
    <w:rsid w:val="00650299"/>
    <w:rsid w:val="00651CB5"/>
    <w:rsid w:val="00655FC5"/>
    <w:rsid w:val="006D5E31"/>
    <w:rsid w:val="00700AAE"/>
    <w:rsid w:val="007061A0"/>
    <w:rsid w:val="00711D6E"/>
    <w:rsid w:val="0072133D"/>
    <w:rsid w:val="007A41A5"/>
    <w:rsid w:val="007A66F5"/>
    <w:rsid w:val="007D07D7"/>
    <w:rsid w:val="0080538C"/>
    <w:rsid w:val="00814E0A"/>
    <w:rsid w:val="00822581"/>
    <w:rsid w:val="008309DD"/>
    <w:rsid w:val="0083227A"/>
    <w:rsid w:val="008614B2"/>
    <w:rsid w:val="00866900"/>
    <w:rsid w:val="00876A8A"/>
    <w:rsid w:val="008809D4"/>
    <w:rsid w:val="00881BA1"/>
    <w:rsid w:val="008A041A"/>
    <w:rsid w:val="008A24FC"/>
    <w:rsid w:val="008B2964"/>
    <w:rsid w:val="008C2302"/>
    <w:rsid w:val="008C26B8"/>
    <w:rsid w:val="008D3FCA"/>
    <w:rsid w:val="008F208F"/>
    <w:rsid w:val="009221A4"/>
    <w:rsid w:val="00976766"/>
    <w:rsid w:val="00982084"/>
    <w:rsid w:val="00995963"/>
    <w:rsid w:val="009A75F2"/>
    <w:rsid w:val="009B61EB"/>
    <w:rsid w:val="009C2064"/>
    <w:rsid w:val="009D1697"/>
    <w:rsid w:val="009D61DB"/>
    <w:rsid w:val="009E0BF8"/>
    <w:rsid w:val="009F3A46"/>
    <w:rsid w:val="009F6520"/>
    <w:rsid w:val="00A014F8"/>
    <w:rsid w:val="00A40FD0"/>
    <w:rsid w:val="00A43CF0"/>
    <w:rsid w:val="00A5173C"/>
    <w:rsid w:val="00A61AEF"/>
    <w:rsid w:val="00A77FC7"/>
    <w:rsid w:val="00A8099C"/>
    <w:rsid w:val="00A86808"/>
    <w:rsid w:val="00A96B94"/>
    <w:rsid w:val="00AD2345"/>
    <w:rsid w:val="00AD75B3"/>
    <w:rsid w:val="00AE7422"/>
    <w:rsid w:val="00AF173A"/>
    <w:rsid w:val="00B066A4"/>
    <w:rsid w:val="00B07A13"/>
    <w:rsid w:val="00B156AE"/>
    <w:rsid w:val="00B27DDF"/>
    <w:rsid w:val="00B4279B"/>
    <w:rsid w:val="00B45FC9"/>
    <w:rsid w:val="00B76F35"/>
    <w:rsid w:val="00B81138"/>
    <w:rsid w:val="00B86C72"/>
    <w:rsid w:val="00B97012"/>
    <w:rsid w:val="00BC7CCF"/>
    <w:rsid w:val="00BE470B"/>
    <w:rsid w:val="00BF306C"/>
    <w:rsid w:val="00C05150"/>
    <w:rsid w:val="00C137F8"/>
    <w:rsid w:val="00C14DA8"/>
    <w:rsid w:val="00C57621"/>
    <w:rsid w:val="00C57A91"/>
    <w:rsid w:val="00CB5FA2"/>
    <w:rsid w:val="00CC01C2"/>
    <w:rsid w:val="00CF21F2"/>
    <w:rsid w:val="00D00CB9"/>
    <w:rsid w:val="00D02712"/>
    <w:rsid w:val="00D046A7"/>
    <w:rsid w:val="00D214D0"/>
    <w:rsid w:val="00D22CD4"/>
    <w:rsid w:val="00D45251"/>
    <w:rsid w:val="00D6546B"/>
    <w:rsid w:val="00D97D5E"/>
    <w:rsid w:val="00DB178B"/>
    <w:rsid w:val="00DC05AD"/>
    <w:rsid w:val="00DC17D3"/>
    <w:rsid w:val="00DD4BED"/>
    <w:rsid w:val="00DE39F0"/>
    <w:rsid w:val="00DF0AF3"/>
    <w:rsid w:val="00DF7E9F"/>
    <w:rsid w:val="00E2365F"/>
    <w:rsid w:val="00E27D7E"/>
    <w:rsid w:val="00E326F9"/>
    <w:rsid w:val="00E42E13"/>
    <w:rsid w:val="00E46E56"/>
    <w:rsid w:val="00E56D5C"/>
    <w:rsid w:val="00E6257C"/>
    <w:rsid w:val="00E63C59"/>
    <w:rsid w:val="00E71715"/>
    <w:rsid w:val="00E72B34"/>
    <w:rsid w:val="00EB3CE8"/>
    <w:rsid w:val="00EC044E"/>
    <w:rsid w:val="00EC16E6"/>
    <w:rsid w:val="00EE7012"/>
    <w:rsid w:val="00F01DB0"/>
    <w:rsid w:val="00F25662"/>
    <w:rsid w:val="00F476CC"/>
    <w:rsid w:val="00FA124A"/>
    <w:rsid w:val="00FC08DD"/>
    <w:rsid w:val="00FC2316"/>
    <w:rsid w:val="00FC2CFD"/>
    <w:rsid w:val="00FD09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AD261B"/>
  <w15:docId w15:val="{081FE38A-CE26-4902-AE33-D98EEDCE7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3CF6"/>
    <w:pPr>
      <w:tabs>
        <w:tab w:val="left" w:pos="1134"/>
        <w:tab w:val="left" w:pos="1871"/>
        <w:tab w:val="left" w:pos="2268"/>
      </w:tabs>
      <w:overflowPunct w:val="0"/>
      <w:autoSpaceDE w:val="0"/>
      <w:autoSpaceDN w:val="0"/>
      <w:adjustRightInd w:val="0"/>
      <w:spacing w:before="120"/>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textAlignment w:val="baseline"/>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textAlignment w:val="baseline"/>
    </w:pPr>
  </w:style>
  <w:style w:type="paragraph" w:customStyle="1" w:styleId="Artheading">
    <w:name w:val="Art_heading"/>
    <w:basedOn w:val="Normal"/>
    <w:next w:val="Normal"/>
    <w:rsid w:val="008F208F"/>
    <w:pPr>
      <w:spacing w:before="480"/>
      <w:jc w:val="center"/>
      <w:textAlignment w:val="baseline"/>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textAlignment w:val="baseline"/>
    </w:pPr>
    <w:rPr>
      <w:caps/>
      <w:sz w:val="28"/>
    </w:rPr>
  </w:style>
  <w:style w:type="paragraph" w:customStyle="1" w:styleId="Arttitle">
    <w:name w:val="Art_title"/>
    <w:basedOn w:val="Normal"/>
    <w:next w:val="Normal"/>
    <w:rsid w:val="008F208F"/>
    <w:pPr>
      <w:keepNext/>
      <w:keepLines/>
      <w:spacing w:before="240"/>
      <w:jc w:val="center"/>
      <w:textAlignment w:val="baseline"/>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textAlignment w:val="baseline"/>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textAlignment w:val="baseline"/>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textAlignment w:val="baseline"/>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textAlignment w:val="baseline"/>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textAlignment w:val="baseline"/>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textAlignment w:val="baseline"/>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textAlignment w:val="baseline"/>
    </w:pPr>
  </w:style>
  <w:style w:type="paragraph" w:customStyle="1" w:styleId="Note">
    <w:name w:val="Note"/>
    <w:basedOn w:val="Normal"/>
    <w:next w:val="Normal"/>
    <w:rsid w:val="008F208F"/>
    <w:pPr>
      <w:tabs>
        <w:tab w:val="left" w:pos="284"/>
      </w:tabs>
      <w:spacing w:before="80"/>
      <w:textAlignment w:val="baseline"/>
    </w:pPr>
  </w:style>
  <w:style w:type="paragraph" w:styleId="Header">
    <w:name w:val="header"/>
    <w:basedOn w:val="Normal"/>
    <w:link w:val="HeaderChar"/>
    <w:rsid w:val="008F208F"/>
    <w:pPr>
      <w:spacing w:before="0"/>
      <w:jc w:val="center"/>
      <w:textAlignment w:val="baseline"/>
    </w:pPr>
    <w:rPr>
      <w:sz w:val="18"/>
    </w:rPr>
  </w:style>
  <w:style w:type="paragraph" w:styleId="Index1">
    <w:name w:val="index 1"/>
    <w:basedOn w:val="Normal"/>
    <w:next w:val="Normal"/>
    <w:semiHidden/>
    <w:rsid w:val="00E63C59"/>
    <w:pPr>
      <w:textAlignment w:val="baseline"/>
    </w:pPr>
  </w:style>
  <w:style w:type="paragraph" w:styleId="Index2">
    <w:name w:val="index 2"/>
    <w:basedOn w:val="Normal"/>
    <w:next w:val="Normal"/>
    <w:semiHidden/>
    <w:rsid w:val="00E63C59"/>
    <w:pPr>
      <w:ind w:left="283"/>
      <w:textAlignment w:val="baseline"/>
    </w:pPr>
  </w:style>
  <w:style w:type="paragraph" w:styleId="Index3">
    <w:name w:val="index 3"/>
    <w:basedOn w:val="Normal"/>
    <w:next w:val="Normal"/>
    <w:semiHidden/>
    <w:rsid w:val="00E63C59"/>
    <w:pPr>
      <w:ind w:left="566"/>
      <w:textAlignment w:val="baseline"/>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textAlignment w:val="baseline"/>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textAlignment w:val="baseline"/>
    </w:pPr>
    <w:rPr>
      <w:sz w:val="22"/>
    </w:rPr>
  </w:style>
  <w:style w:type="paragraph" w:customStyle="1" w:styleId="Questiondate">
    <w:name w:val="Question_date"/>
    <w:basedOn w:val="Normal"/>
    <w:next w:val="Normalaftertitle0"/>
    <w:rsid w:val="008F208F"/>
    <w:pPr>
      <w:keepNext/>
      <w:keepLines/>
      <w:jc w:val="right"/>
      <w:textAlignment w:val="baseline"/>
    </w:pPr>
    <w:rPr>
      <w:sz w:val="22"/>
    </w:rPr>
  </w:style>
  <w:style w:type="paragraph" w:customStyle="1" w:styleId="QuestionNo">
    <w:name w:val="Question_No"/>
    <w:basedOn w:val="Normal"/>
    <w:next w:val="Normal"/>
    <w:rsid w:val="008F208F"/>
    <w:pPr>
      <w:keepNext/>
      <w:keepLines/>
      <w:spacing w:before="480"/>
      <w:jc w:val="center"/>
      <w:textAlignment w:val="baseline"/>
    </w:pPr>
    <w:rPr>
      <w:caps/>
      <w:sz w:val="28"/>
    </w:rPr>
  </w:style>
  <w:style w:type="paragraph" w:customStyle="1" w:styleId="Questiontitle">
    <w:name w:val="Question_title"/>
    <w:basedOn w:val="Normal"/>
    <w:next w:val="Normal"/>
    <w:rsid w:val="008F208F"/>
    <w:pPr>
      <w:keepNext/>
      <w:keepLines/>
      <w:spacing w:before="240"/>
      <w:jc w:val="center"/>
      <w:textAlignment w:val="baseline"/>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textAlignment w:val="baseline"/>
    </w:pPr>
  </w:style>
  <w:style w:type="paragraph" w:customStyle="1" w:styleId="Reftitle">
    <w:name w:val="Ref_title"/>
    <w:basedOn w:val="Normal"/>
    <w:next w:val="Reftext"/>
    <w:rsid w:val="00E63C59"/>
    <w:pPr>
      <w:spacing w:before="480"/>
      <w:jc w:val="center"/>
      <w:textAlignment w:val="baseline"/>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textAlignment w:val="baseline"/>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textAlignment w:val="baseline"/>
    </w:pPr>
    <w:rPr>
      <w:rFonts w:ascii="Times New Roman Bold" w:hAnsi="Times New Roman Bold" w:cs="Times New Roman Bold"/>
      <w:b/>
      <w:sz w:val="20"/>
    </w:rPr>
  </w:style>
  <w:style w:type="paragraph" w:customStyle="1" w:styleId="Tablelegend">
    <w:name w:val="Table_legend"/>
    <w:basedOn w:val="Normal"/>
    <w:rsid w:val="008F208F"/>
    <w:pPr>
      <w:textAlignment w:val="baseline"/>
    </w:pPr>
    <w:rPr>
      <w:sz w:val="20"/>
    </w:rPr>
  </w:style>
  <w:style w:type="paragraph" w:customStyle="1" w:styleId="TableNo">
    <w:name w:val="Table_No"/>
    <w:basedOn w:val="Normal"/>
    <w:next w:val="Normal"/>
    <w:rsid w:val="008F208F"/>
    <w:pPr>
      <w:keepNext/>
      <w:spacing w:before="560" w:after="120"/>
      <w:jc w:val="center"/>
      <w:textAlignment w:val="baseline"/>
    </w:pPr>
    <w:rPr>
      <w:caps/>
      <w:sz w:val="20"/>
    </w:rPr>
  </w:style>
  <w:style w:type="paragraph" w:customStyle="1" w:styleId="Tabletitle">
    <w:name w:val="Table_title"/>
    <w:basedOn w:val="Normal"/>
    <w:next w:val="Tabletext"/>
    <w:link w:val="TabletitleChar"/>
    <w:rsid w:val="008F208F"/>
    <w:pPr>
      <w:keepNext/>
      <w:keepLines/>
      <w:spacing w:before="0" w:after="120"/>
      <w:jc w:val="center"/>
      <w:textAlignment w:val="baseline"/>
    </w:pPr>
    <w:rPr>
      <w:rFonts w:ascii="Times New Roman Bold" w:hAnsi="Times New Roman Bold"/>
      <w:b/>
      <w:sz w:val="20"/>
    </w:rPr>
  </w:style>
  <w:style w:type="paragraph" w:customStyle="1" w:styleId="Tableref">
    <w:name w:val="Table_ref"/>
    <w:basedOn w:val="Normal"/>
    <w:next w:val="Normal"/>
    <w:rsid w:val="008F208F"/>
    <w:pPr>
      <w:keepNext/>
      <w:spacing w:before="560"/>
      <w:jc w:val="center"/>
      <w:textAlignment w:val="baseline"/>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textAlignment w:val="baseline"/>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textAlignment w:val="baseline"/>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textAlignment w:val="baseline"/>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textAlignment w:val="baseline"/>
    </w:pPr>
    <w:rPr>
      <w:i/>
    </w:rPr>
  </w:style>
  <w:style w:type="paragraph" w:customStyle="1" w:styleId="Headingb">
    <w:name w:val="Heading_b"/>
    <w:basedOn w:val="Normal"/>
    <w:next w:val="Normal"/>
    <w:qFormat/>
    <w:rsid w:val="008F208F"/>
    <w:pPr>
      <w:spacing w:before="160"/>
      <w:textAlignment w:val="baseline"/>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textAlignment w:val="baseline"/>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textAlignment w:val="baseline"/>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textAlignment w:val="baseline"/>
    </w:pPr>
    <w:rPr>
      <w:caps/>
      <w:sz w:val="20"/>
    </w:rPr>
  </w:style>
  <w:style w:type="paragraph" w:customStyle="1" w:styleId="AnnexNo">
    <w:name w:val="Annex_No"/>
    <w:basedOn w:val="Normal"/>
    <w:next w:val="Normal"/>
    <w:rsid w:val="008F208F"/>
    <w:pPr>
      <w:keepNext/>
      <w:keepLines/>
      <w:spacing w:before="480" w:after="80"/>
      <w:jc w:val="center"/>
      <w:textAlignment w:val="baseline"/>
    </w:pPr>
    <w:rPr>
      <w:caps/>
      <w:sz w:val="28"/>
    </w:rPr>
  </w:style>
  <w:style w:type="paragraph" w:customStyle="1" w:styleId="Annexref">
    <w:name w:val="Annex_ref"/>
    <w:basedOn w:val="Normal"/>
    <w:next w:val="Normal"/>
    <w:rsid w:val="008F208F"/>
    <w:pPr>
      <w:keepNext/>
      <w:keepLines/>
      <w:spacing w:after="280"/>
      <w:jc w:val="center"/>
      <w:textAlignment w:val="baseline"/>
    </w:pPr>
  </w:style>
  <w:style w:type="paragraph" w:customStyle="1" w:styleId="Annextitle">
    <w:name w:val="Annex_title"/>
    <w:basedOn w:val="Normal"/>
    <w:next w:val="Normal"/>
    <w:rsid w:val="008F208F"/>
    <w:pPr>
      <w:keepNext/>
      <w:keepLines/>
      <w:spacing w:before="240" w:after="280"/>
      <w:jc w:val="center"/>
      <w:textAlignment w:val="baseline"/>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textAlignment w:val="baseline"/>
    </w:pPr>
    <w:rPr>
      <w:b/>
      <w:noProof/>
      <w:sz w:val="20"/>
    </w:rPr>
  </w:style>
  <w:style w:type="paragraph" w:styleId="NormalIndent">
    <w:name w:val="Normal Indent"/>
    <w:basedOn w:val="Normal"/>
    <w:rsid w:val="008F208F"/>
    <w:pPr>
      <w:ind w:left="1134"/>
      <w:textAlignment w:val="baseline"/>
    </w:pPr>
  </w:style>
  <w:style w:type="paragraph" w:styleId="Index4">
    <w:name w:val="index 4"/>
    <w:basedOn w:val="Normal"/>
    <w:next w:val="Normal"/>
    <w:rsid w:val="00E63C59"/>
    <w:pPr>
      <w:ind w:left="849"/>
      <w:textAlignment w:val="baseline"/>
    </w:pPr>
  </w:style>
  <w:style w:type="paragraph" w:styleId="Index5">
    <w:name w:val="index 5"/>
    <w:basedOn w:val="Normal"/>
    <w:next w:val="Normal"/>
    <w:rsid w:val="00E63C59"/>
    <w:pPr>
      <w:ind w:left="1132"/>
      <w:textAlignment w:val="baseline"/>
    </w:pPr>
  </w:style>
  <w:style w:type="paragraph" w:styleId="Index6">
    <w:name w:val="index 6"/>
    <w:basedOn w:val="Normal"/>
    <w:next w:val="Normal"/>
    <w:rsid w:val="00E63C59"/>
    <w:pPr>
      <w:ind w:left="1415"/>
      <w:textAlignment w:val="baseline"/>
    </w:pPr>
  </w:style>
  <w:style w:type="paragraph" w:styleId="Index7">
    <w:name w:val="index 7"/>
    <w:basedOn w:val="Normal"/>
    <w:next w:val="Normal"/>
    <w:rsid w:val="00E63C59"/>
    <w:pPr>
      <w:ind w:left="1698"/>
      <w:textAlignment w:val="baseline"/>
    </w:pPr>
  </w:style>
  <w:style w:type="paragraph" w:styleId="IndexHeading">
    <w:name w:val="index heading"/>
    <w:basedOn w:val="Normal"/>
    <w:next w:val="Index1"/>
    <w:rsid w:val="00E63C59"/>
    <w:pPr>
      <w:textAlignment w:val="baseline"/>
    </w:pPr>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textAlignment w:val="baseline"/>
    </w:pPr>
  </w:style>
  <w:style w:type="paragraph" w:customStyle="1" w:styleId="Proposal">
    <w:name w:val="Proposal"/>
    <w:basedOn w:val="Normal"/>
    <w:next w:val="Normal"/>
    <w:rsid w:val="008F208F"/>
    <w:pPr>
      <w:keepNext/>
      <w:spacing w:before="240"/>
      <w:textAlignment w:val="baseline"/>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textAlignment w:val="baseline"/>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textAlignment w:val="baseline"/>
    </w:pPr>
    <w:rPr>
      <w:sz w:val="20"/>
    </w:rPr>
  </w:style>
  <w:style w:type="paragraph" w:customStyle="1" w:styleId="Agendaitem">
    <w:name w:val="Agenda_item"/>
    <w:basedOn w:val="Normal"/>
    <w:next w:val="Normal"/>
    <w:qFormat/>
    <w:rsid w:val="008F208F"/>
    <w:pPr>
      <w:overflowPunct/>
      <w:autoSpaceDE/>
      <w:autoSpaceDN/>
      <w:adjustRightInd/>
      <w:spacing w:before="240"/>
      <w:jc w:val="center"/>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textAlignment w:val="baseline"/>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pPr>
      <w:textAlignment w:val="baseline"/>
    </w:pPr>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textAlignment w:val="baseline"/>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pPr>
      <w:textAlignment w:val="baseline"/>
    </w:pPr>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nhideWhenUsed/>
    <w:rsid w:val="0072133D"/>
    <w:rPr>
      <w:color w:val="0000FF" w:themeColor="hyperlink"/>
      <w:u w:val="single"/>
    </w:rPr>
  </w:style>
  <w:style w:type="character" w:styleId="UnresolvedMention">
    <w:name w:val="Unresolved Mention"/>
    <w:basedOn w:val="DefaultParagraphFont"/>
    <w:uiPriority w:val="99"/>
    <w:semiHidden/>
    <w:unhideWhenUsed/>
    <w:rsid w:val="0072133D"/>
    <w:rPr>
      <w:color w:val="605E5C"/>
      <w:shd w:val="clear" w:color="auto" w:fill="E1DFDD"/>
    </w:rPr>
  </w:style>
  <w:style w:type="character" w:customStyle="1" w:styleId="TabletitleChar">
    <w:name w:val="Table_title Char"/>
    <w:basedOn w:val="DefaultParagraphFont"/>
    <w:link w:val="Tabletitle"/>
    <w:locked/>
    <w:rsid w:val="00033CF6"/>
    <w:rPr>
      <w:rFonts w:ascii="Times New Roman Bold" w:hAnsi="Times New Roman Bold"/>
      <w:b/>
      <w:lang w:val="en-GB" w:eastAsia="en-US"/>
    </w:rPr>
  </w:style>
  <w:style w:type="paragraph" w:customStyle="1" w:styleId="Tablefin">
    <w:name w:val="Table_fin"/>
    <w:basedOn w:val="Normal"/>
    <w:rsid w:val="00033CF6"/>
    <w:pPr>
      <w:tabs>
        <w:tab w:val="clear" w:pos="1134"/>
        <w:tab w:val="clear" w:pos="1871"/>
        <w:tab w:val="clear" w:pos="2268"/>
      </w:tabs>
      <w:spacing w:before="0"/>
    </w:pPr>
    <w:rPr>
      <w:sz w:val="20"/>
      <w:lang w:eastAsia="zh-CN"/>
    </w:rPr>
  </w:style>
  <w:style w:type="table" w:styleId="TableGrid">
    <w:name w:val="Table Grid"/>
    <w:basedOn w:val="TableNormal"/>
    <w:uiPriority w:val="59"/>
    <w:rsid w:val="00033CF6"/>
    <w:rPr>
      <w:rFonts w:eastAsia="MS Mincho"/>
      <w:sz w:val="22"/>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976766"/>
    <w:pPr>
      <w:tabs>
        <w:tab w:val="clear" w:pos="1134"/>
        <w:tab w:val="clear" w:pos="1871"/>
        <w:tab w:val="clear" w:pos="2268"/>
      </w:tabs>
      <w:overflowPunct/>
      <w:autoSpaceDE/>
      <w:autoSpaceDN/>
      <w:adjustRightInd/>
      <w:spacing w:before="240" w:after="60"/>
      <w:jc w:val="both"/>
    </w:pPr>
    <w:rPr>
      <w:rFonts w:ascii="Arial" w:eastAsia="Calibri" w:hAnsi="Arial"/>
      <w:sz w:val="20"/>
    </w:rPr>
  </w:style>
  <w:style w:type="character" w:customStyle="1" w:styleId="CommentTextChar">
    <w:name w:val="Comment Text Char"/>
    <w:basedOn w:val="DefaultParagraphFont"/>
    <w:link w:val="CommentText"/>
    <w:uiPriority w:val="99"/>
    <w:semiHidden/>
    <w:rsid w:val="00976766"/>
    <w:rPr>
      <w:rFonts w:ascii="Arial" w:eastAsia="Calibri" w:hAnsi="Arial"/>
      <w:lang w:val="en-GB" w:eastAsia="en-US"/>
    </w:rPr>
  </w:style>
  <w:style w:type="paragraph" w:styleId="ListParagraph">
    <w:name w:val="List Paragraph"/>
    <w:basedOn w:val="Normal"/>
    <w:uiPriority w:val="34"/>
    <w:qFormat/>
    <w:rsid w:val="00976766"/>
    <w:pPr>
      <w:tabs>
        <w:tab w:val="clear" w:pos="1134"/>
        <w:tab w:val="clear" w:pos="1871"/>
        <w:tab w:val="clear" w:pos="2268"/>
      </w:tabs>
      <w:overflowPunct/>
      <w:autoSpaceDE/>
      <w:autoSpaceDN/>
      <w:adjustRightInd/>
      <w:spacing w:before="0" w:after="160" w:line="256" w:lineRule="auto"/>
      <w:ind w:left="720"/>
      <w:contextualSpacing/>
    </w:pPr>
    <w:rPr>
      <w:rFonts w:asciiTheme="minorHAnsi" w:eastAsiaTheme="minorHAnsi" w:hAnsiTheme="minorHAnsi" w:cstheme="minorBidi"/>
      <w:kern w:val="2"/>
      <w:sz w:val="22"/>
      <w:szCs w:val="22"/>
      <w14:ligatures w14:val="standardContextual"/>
    </w:rPr>
  </w:style>
  <w:style w:type="paragraph" w:customStyle="1" w:styleId="ECCBulletsLv1">
    <w:name w:val="ECC Bullets Lv1"/>
    <w:basedOn w:val="Normal"/>
    <w:qFormat/>
    <w:rsid w:val="00976766"/>
    <w:pPr>
      <w:numPr>
        <w:numId w:val="1"/>
      </w:numPr>
      <w:tabs>
        <w:tab w:val="clear" w:pos="1134"/>
        <w:tab w:val="clear" w:pos="1871"/>
        <w:tab w:val="clear" w:pos="2268"/>
        <w:tab w:val="left" w:pos="340"/>
      </w:tabs>
      <w:overflowPunct/>
      <w:autoSpaceDE/>
      <w:autoSpaceDN/>
      <w:adjustRightInd/>
      <w:spacing w:before="60" w:after="60"/>
      <w:jc w:val="both"/>
    </w:pPr>
    <w:rPr>
      <w:rFonts w:ascii="Arial" w:eastAsia="Calibri" w:hAnsi="Arial"/>
      <w:sz w:val="20"/>
      <w:szCs w:val="22"/>
    </w:rPr>
  </w:style>
  <w:style w:type="character" w:styleId="CommentReference">
    <w:name w:val="annotation reference"/>
    <w:basedOn w:val="DefaultParagraphFont"/>
    <w:uiPriority w:val="99"/>
    <w:semiHidden/>
    <w:unhideWhenUsed/>
    <w:rsid w:val="00976766"/>
    <w:rPr>
      <w:sz w:val="16"/>
      <w:szCs w:val="16"/>
    </w:rPr>
  </w:style>
  <w:style w:type="character" w:styleId="FollowedHyperlink">
    <w:name w:val="FollowedHyperlink"/>
    <w:basedOn w:val="DefaultParagraphFont"/>
    <w:semiHidden/>
    <w:unhideWhenUsed/>
    <w:rsid w:val="0032078E"/>
    <w:rPr>
      <w:color w:val="800080" w:themeColor="followedHyperlink"/>
      <w:u w:val="single"/>
    </w:rPr>
  </w:style>
  <w:style w:type="paragraph" w:styleId="NormalWeb">
    <w:name w:val="Normal (Web)"/>
    <w:basedOn w:val="Normal"/>
    <w:semiHidden/>
    <w:unhideWhenUsed/>
    <w:rsid w:val="00E326F9"/>
    <w:rPr>
      <w:szCs w:val="24"/>
    </w:rPr>
  </w:style>
  <w:style w:type="character" w:customStyle="1" w:styleId="NormalaftertitleChar">
    <w:name w:val="Normal_after_title Char"/>
    <w:basedOn w:val="DefaultParagraphFont"/>
    <w:link w:val="Normalaftertitle"/>
    <w:locked/>
    <w:rsid w:val="00E326F9"/>
    <w:rPr>
      <w:rFonts w:ascii="Times New Roman" w:hAnsi="Times New Roman"/>
      <w:sz w:val="24"/>
      <w:lang w:val="en-GB" w:eastAsia="en-US"/>
    </w:rPr>
  </w:style>
  <w:style w:type="character" w:customStyle="1" w:styleId="Heading1Char">
    <w:name w:val="Heading 1 Char"/>
    <w:basedOn w:val="DefaultParagraphFont"/>
    <w:link w:val="Heading1"/>
    <w:rsid w:val="00293459"/>
    <w:rPr>
      <w:rFonts w:ascii="Times New Roman" w:hAnsi="Times New Roman"/>
      <w:b/>
      <w:sz w:val="28"/>
      <w:lang w:val="en-GB" w:eastAsia="en-US"/>
    </w:rPr>
  </w:style>
  <w:style w:type="character" w:customStyle="1" w:styleId="Heading2Char">
    <w:name w:val="Heading 2 Char"/>
    <w:basedOn w:val="DefaultParagraphFont"/>
    <w:link w:val="Heading2"/>
    <w:rsid w:val="00D45251"/>
    <w:rPr>
      <w:rFonts w:ascii="Times New Roman" w:hAnsi="Times New Roman"/>
      <w:b/>
      <w:sz w:val="24"/>
      <w:lang w:val="en-GB" w:eastAsia="en-US"/>
    </w:rPr>
  </w:style>
  <w:style w:type="paragraph" w:customStyle="1" w:styleId="TabletitleBR">
    <w:name w:val="Table_title_BR"/>
    <w:basedOn w:val="Normal"/>
    <w:next w:val="Normal"/>
    <w:qFormat/>
    <w:rsid w:val="00D45251"/>
    <w:pPr>
      <w:keepNext/>
      <w:keepLines/>
      <w:tabs>
        <w:tab w:val="clear" w:pos="1134"/>
        <w:tab w:val="clear" w:pos="1871"/>
        <w:tab w:val="clear" w:pos="2268"/>
        <w:tab w:val="left" w:pos="794"/>
        <w:tab w:val="left" w:pos="1191"/>
        <w:tab w:val="left" w:pos="1588"/>
        <w:tab w:val="left" w:pos="1985"/>
      </w:tabs>
      <w:spacing w:before="0" w:after="120" w:line="259" w:lineRule="auto"/>
      <w:jc w:val="center"/>
      <w:textAlignment w:val="baseline"/>
    </w:pPr>
    <w:rPr>
      <w:b/>
      <w:lang w:val="en-US"/>
    </w:rPr>
  </w:style>
  <w:style w:type="character" w:customStyle="1" w:styleId="field-content">
    <w:name w:val="field-content"/>
    <w:basedOn w:val="DefaultParagraphFont"/>
    <w:rsid w:val="00D45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2386">
      <w:bodyDiv w:val="1"/>
      <w:marLeft w:val="0"/>
      <w:marRight w:val="0"/>
      <w:marTop w:val="0"/>
      <w:marBottom w:val="0"/>
      <w:divBdr>
        <w:top w:val="none" w:sz="0" w:space="0" w:color="auto"/>
        <w:left w:val="none" w:sz="0" w:space="0" w:color="auto"/>
        <w:bottom w:val="none" w:sz="0" w:space="0" w:color="auto"/>
        <w:right w:val="none" w:sz="0" w:space="0" w:color="auto"/>
      </w:divBdr>
      <w:divsChild>
        <w:div w:id="162208246">
          <w:marLeft w:val="0"/>
          <w:marRight w:val="0"/>
          <w:marTop w:val="0"/>
          <w:marBottom w:val="0"/>
          <w:divBdr>
            <w:top w:val="none" w:sz="0" w:space="0" w:color="auto"/>
            <w:left w:val="none" w:sz="0" w:space="0" w:color="auto"/>
            <w:bottom w:val="none" w:sz="0" w:space="0" w:color="auto"/>
            <w:right w:val="none" w:sz="0" w:space="0" w:color="auto"/>
          </w:divBdr>
          <w:divsChild>
            <w:div w:id="1424842602">
              <w:marLeft w:val="0"/>
              <w:marRight w:val="0"/>
              <w:marTop w:val="0"/>
              <w:marBottom w:val="0"/>
              <w:divBdr>
                <w:top w:val="none" w:sz="0" w:space="0" w:color="auto"/>
                <w:left w:val="none" w:sz="0" w:space="0" w:color="auto"/>
                <w:bottom w:val="none" w:sz="0" w:space="0" w:color="auto"/>
                <w:right w:val="none" w:sz="0" w:space="0" w:color="auto"/>
              </w:divBdr>
              <w:divsChild>
                <w:div w:id="668288751">
                  <w:marLeft w:val="0"/>
                  <w:marRight w:val="0"/>
                  <w:marTop w:val="0"/>
                  <w:marBottom w:val="0"/>
                  <w:divBdr>
                    <w:top w:val="none" w:sz="0" w:space="0" w:color="auto"/>
                    <w:left w:val="none" w:sz="0" w:space="0" w:color="auto"/>
                    <w:bottom w:val="none" w:sz="0" w:space="0" w:color="auto"/>
                    <w:right w:val="none" w:sz="0" w:space="0" w:color="auto"/>
                  </w:divBdr>
                  <w:divsChild>
                    <w:div w:id="3762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2104">
      <w:bodyDiv w:val="1"/>
      <w:marLeft w:val="0"/>
      <w:marRight w:val="0"/>
      <w:marTop w:val="0"/>
      <w:marBottom w:val="0"/>
      <w:divBdr>
        <w:top w:val="none" w:sz="0" w:space="0" w:color="auto"/>
        <w:left w:val="none" w:sz="0" w:space="0" w:color="auto"/>
        <w:bottom w:val="none" w:sz="0" w:space="0" w:color="auto"/>
        <w:right w:val="none" w:sz="0" w:space="0" w:color="auto"/>
      </w:divBdr>
      <w:divsChild>
        <w:div w:id="1730299038">
          <w:marLeft w:val="0"/>
          <w:marRight w:val="0"/>
          <w:marTop w:val="0"/>
          <w:marBottom w:val="0"/>
          <w:divBdr>
            <w:top w:val="none" w:sz="0" w:space="0" w:color="auto"/>
            <w:left w:val="none" w:sz="0" w:space="0" w:color="auto"/>
            <w:bottom w:val="none" w:sz="0" w:space="0" w:color="auto"/>
            <w:right w:val="none" w:sz="0" w:space="0" w:color="auto"/>
          </w:divBdr>
          <w:divsChild>
            <w:div w:id="56827772">
              <w:marLeft w:val="0"/>
              <w:marRight w:val="0"/>
              <w:marTop w:val="0"/>
              <w:marBottom w:val="0"/>
              <w:divBdr>
                <w:top w:val="none" w:sz="0" w:space="0" w:color="auto"/>
                <w:left w:val="none" w:sz="0" w:space="0" w:color="auto"/>
                <w:bottom w:val="none" w:sz="0" w:space="0" w:color="auto"/>
                <w:right w:val="none" w:sz="0" w:space="0" w:color="auto"/>
              </w:divBdr>
              <w:divsChild>
                <w:div w:id="1519268454">
                  <w:marLeft w:val="0"/>
                  <w:marRight w:val="0"/>
                  <w:marTop w:val="0"/>
                  <w:marBottom w:val="0"/>
                  <w:divBdr>
                    <w:top w:val="none" w:sz="0" w:space="0" w:color="auto"/>
                    <w:left w:val="none" w:sz="0" w:space="0" w:color="auto"/>
                    <w:bottom w:val="none" w:sz="0" w:space="0" w:color="auto"/>
                    <w:right w:val="none" w:sz="0" w:space="0" w:color="auto"/>
                  </w:divBdr>
                  <w:divsChild>
                    <w:div w:id="10945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79032">
      <w:bodyDiv w:val="1"/>
      <w:marLeft w:val="0"/>
      <w:marRight w:val="0"/>
      <w:marTop w:val="0"/>
      <w:marBottom w:val="0"/>
      <w:divBdr>
        <w:top w:val="none" w:sz="0" w:space="0" w:color="auto"/>
        <w:left w:val="none" w:sz="0" w:space="0" w:color="auto"/>
        <w:bottom w:val="none" w:sz="0" w:space="0" w:color="auto"/>
        <w:right w:val="none" w:sz="0" w:space="0" w:color="auto"/>
      </w:divBdr>
      <w:divsChild>
        <w:div w:id="1111899007">
          <w:marLeft w:val="0"/>
          <w:marRight w:val="0"/>
          <w:marTop w:val="0"/>
          <w:marBottom w:val="0"/>
          <w:divBdr>
            <w:top w:val="none" w:sz="0" w:space="0" w:color="auto"/>
            <w:left w:val="none" w:sz="0" w:space="0" w:color="auto"/>
            <w:bottom w:val="none" w:sz="0" w:space="0" w:color="auto"/>
            <w:right w:val="none" w:sz="0" w:space="0" w:color="auto"/>
          </w:divBdr>
          <w:divsChild>
            <w:div w:id="1540505966">
              <w:marLeft w:val="0"/>
              <w:marRight w:val="0"/>
              <w:marTop w:val="0"/>
              <w:marBottom w:val="0"/>
              <w:divBdr>
                <w:top w:val="none" w:sz="0" w:space="0" w:color="auto"/>
                <w:left w:val="none" w:sz="0" w:space="0" w:color="auto"/>
                <w:bottom w:val="none" w:sz="0" w:space="0" w:color="auto"/>
                <w:right w:val="none" w:sz="0" w:space="0" w:color="auto"/>
              </w:divBdr>
              <w:divsChild>
                <w:div w:id="10166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46324">
      <w:bodyDiv w:val="1"/>
      <w:marLeft w:val="0"/>
      <w:marRight w:val="0"/>
      <w:marTop w:val="0"/>
      <w:marBottom w:val="0"/>
      <w:divBdr>
        <w:top w:val="none" w:sz="0" w:space="0" w:color="auto"/>
        <w:left w:val="none" w:sz="0" w:space="0" w:color="auto"/>
        <w:bottom w:val="none" w:sz="0" w:space="0" w:color="auto"/>
        <w:right w:val="none" w:sz="0" w:space="0" w:color="auto"/>
      </w:divBdr>
      <w:divsChild>
        <w:div w:id="1912427219">
          <w:marLeft w:val="0"/>
          <w:marRight w:val="0"/>
          <w:marTop w:val="0"/>
          <w:marBottom w:val="0"/>
          <w:divBdr>
            <w:top w:val="none" w:sz="0" w:space="0" w:color="auto"/>
            <w:left w:val="none" w:sz="0" w:space="0" w:color="auto"/>
            <w:bottom w:val="none" w:sz="0" w:space="0" w:color="auto"/>
            <w:right w:val="none" w:sz="0" w:space="0" w:color="auto"/>
          </w:divBdr>
          <w:divsChild>
            <w:div w:id="1178543113">
              <w:marLeft w:val="0"/>
              <w:marRight w:val="0"/>
              <w:marTop w:val="0"/>
              <w:marBottom w:val="0"/>
              <w:divBdr>
                <w:top w:val="none" w:sz="0" w:space="0" w:color="auto"/>
                <w:left w:val="none" w:sz="0" w:space="0" w:color="auto"/>
                <w:bottom w:val="none" w:sz="0" w:space="0" w:color="auto"/>
                <w:right w:val="none" w:sz="0" w:space="0" w:color="auto"/>
              </w:divBdr>
              <w:divsChild>
                <w:div w:id="293753343">
                  <w:marLeft w:val="0"/>
                  <w:marRight w:val="0"/>
                  <w:marTop w:val="0"/>
                  <w:marBottom w:val="0"/>
                  <w:divBdr>
                    <w:top w:val="none" w:sz="0" w:space="0" w:color="auto"/>
                    <w:left w:val="none" w:sz="0" w:space="0" w:color="auto"/>
                    <w:bottom w:val="none" w:sz="0" w:space="0" w:color="auto"/>
                    <w:right w:val="none" w:sz="0" w:space="0" w:color="auto"/>
                  </w:divBdr>
                  <w:divsChild>
                    <w:div w:id="4303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861199">
      <w:bodyDiv w:val="1"/>
      <w:marLeft w:val="0"/>
      <w:marRight w:val="0"/>
      <w:marTop w:val="0"/>
      <w:marBottom w:val="0"/>
      <w:divBdr>
        <w:top w:val="none" w:sz="0" w:space="0" w:color="auto"/>
        <w:left w:val="none" w:sz="0" w:space="0" w:color="auto"/>
        <w:bottom w:val="none" w:sz="0" w:space="0" w:color="auto"/>
        <w:right w:val="none" w:sz="0" w:space="0" w:color="auto"/>
      </w:divBdr>
      <w:divsChild>
        <w:div w:id="1819490475">
          <w:marLeft w:val="0"/>
          <w:marRight w:val="0"/>
          <w:marTop w:val="0"/>
          <w:marBottom w:val="0"/>
          <w:divBdr>
            <w:top w:val="none" w:sz="0" w:space="0" w:color="auto"/>
            <w:left w:val="none" w:sz="0" w:space="0" w:color="auto"/>
            <w:bottom w:val="none" w:sz="0" w:space="0" w:color="auto"/>
            <w:right w:val="none" w:sz="0" w:space="0" w:color="auto"/>
          </w:divBdr>
          <w:divsChild>
            <w:div w:id="1940335615">
              <w:marLeft w:val="0"/>
              <w:marRight w:val="0"/>
              <w:marTop w:val="0"/>
              <w:marBottom w:val="0"/>
              <w:divBdr>
                <w:top w:val="none" w:sz="0" w:space="0" w:color="auto"/>
                <w:left w:val="none" w:sz="0" w:space="0" w:color="auto"/>
                <w:bottom w:val="none" w:sz="0" w:space="0" w:color="auto"/>
                <w:right w:val="none" w:sz="0" w:space="0" w:color="auto"/>
              </w:divBdr>
              <w:divsChild>
                <w:div w:id="16863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161">
      <w:bodyDiv w:val="1"/>
      <w:marLeft w:val="0"/>
      <w:marRight w:val="0"/>
      <w:marTop w:val="0"/>
      <w:marBottom w:val="0"/>
      <w:divBdr>
        <w:top w:val="none" w:sz="0" w:space="0" w:color="auto"/>
        <w:left w:val="none" w:sz="0" w:space="0" w:color="auto"/>
        <w:bottom w:val="none" w:sz="0" w:space="0" w:color="auto"/>
        <w:right w:val="none" w:sz="0" w:space="0" w:color="auto"/>
      </w:divBdr>
    </w:div>
    <w:div w:id="701319396">
      <w:bodyDiv w:val="1"/>
      <w:marLeft w:val="0"/>
      <w:marRight w:val="0"/>
      <w:marTop w:val="0"/>
      <w:marBottom w:val="0"/>
      <w:divBdr>
        <w:top w:val="none" w:sz="0" w:space="0" w:color="auto"/>
        <w:left w:val="none" w:sz="0" w:space="0" w:color="auto"/>
        <w:bottom w:val="none" w:sz="0" w:space="0" w:color="auto"/>
        <w:right w:val="none" w:sz="0" w:space="0" w:color="auto"/>
      </w:divBdr>
      <w:divsChild>
        <w:div w:id="846867717">
          <w:marLeft w:val="0"/>
          <w:marRight w:val="0"/>
          <w:marTop w:val="0"/>
          <w:marBottom w:val="0"/>
          <w:divBdr>
            <w:top w:val="none" w:sz="0" w:space="0" w:color="auto"/>
            <w:left w:val="none" w:sz="0" w:space="0" w:color="auto"/>
            <w:bottom w:val="none" w:sz="0" w:space="0" w:color="auto"/>
            <w:right w:val="none" w:sz="0" w:space="0" w:color="auto"/>
          </w:divBdr>
          <w:divsChild>
            <w:div w:id="2004432304">
              <w:marLeft w:val="0"/>
              <w:marRight w:val="0"/>
              <w:marTop w:val="0"/>
              <w:marBottom w:val="0"/>
              <w:divBdr>
                <w:top w:val="none" w:sz="0" w:space="0" w:color="auto"/>
                <w:left w:val="none" w:sz="0" w:space="0" w:color="auto"/>
                <w:bottom w:val="none" w:sz="0" w:space="0" w:color="auto"/>
                <w:right w:val="none" w:sz="0" w:space="0" w:color="auto"/>
              </w:divBdr>
              <w:divsChild>
                <w:div w:id="1635284460">
                  <w:marLeft w:val="0"/>
                  <w:marRight w:val="0"/>
                  <w:marTop w:val="0"/>
                  <w:marBottom w:val="0"/>
                  <w:divBdr>
                    <w:top w:val="none" w:sz="0" w:space="0" w:color="auto"/>
                    <w:left w:val="none" w:sz="0" w:space="0" w:color="auto"/>
                    <w:bottom w:val="none" w:sz="0" w:space="0" w:color="auto"/>
                    <w:right w:val="none" w:sz="0" w:space="0" w:color="auto"/>
                  </w:divBdr>
                  <w:divsChild>
                    <w:div w:id="12575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79113">
      <w:bodyDiv w:val="1"/>
      <w:marLeft w:val="0"/>
      <w:marRight w:val="0"/>
      <w:marTop w:val="0"/>
      <w:marBottom w:val="0"/>
      <w:divBdr>
        <w:top w:val="none" w:sz="0" w:space="0" w:color="auto"/>
        <w:left w:val="none" w:sz="0" w:space="0" w:color="auto"/>
        <w:bottom w:val="none" w:sz="0" w:space="0" w:color="auto"/>
        <w:right w:val="none" w:sz="0" w:space="0" w:color="auto"/>
      </w:divBdr>
      <w:divsChild>
        <w:div w:id="36513622">
          <w:marLeft w:val="0"/>
          <w:marRight w:val="0"/>
          <w:marTop w:val="0"/>
          <w:marBottom w:val="0"/>
          <w:divBdr>
            <w:top w:val="none" w:sz="0" w:space="0" w:color="auto"/>
            <w:left w:val="none" w:sz="0" w:space="0" w:color="auto"/>
            <w:bottom w:val="none" w:sz="0" w:space="0" w:color="auto"/>
            <w:right w:val="none" w:sz="0" w:space="0" w:color="auto"/>
          </w:divBdr>
          <w:divsChild>
            <w:div w:id="1964077171">
              <w:marLeft w:val="0"/>
              <w:marRight w:val="0"/>
              <w:marTop w:val="0"/>
              <w:marBottom w:val="0"/>
              <w:divBdr>
                <w:top w:val="none" w:sz="0" w:space="0" w:color="auto"/>
                <w:left w:val="none" w:sz="0" w:space="0" w:color="auto"/>
                <w:bottom w:val="none" w:sz="0" w:space="0" w:color="auto"/>
                <w:right w:val="none" w:sz="0" w:space="0" w:color="auto"/>
              </w:divBdr>
              <w:divsChild>
                <w:div w:id="155458805">
                  <w:marLeft w:val="0"/>
                  <w:marRight w:val="0"/>
                  <w:marTop w:val="0"/>
                  <w:marBottom w:val="0"/>
                  <w:divBdr>
                    <w:top w:val="none" w:sz="0" w:space="0" w:color="auto"/>
                    <w:left w:val="none" w:sz="0" w:space="0" w:color="auto"/>
                    <w:bottom w:val="none" w:sz="0" w:space="0" w:color="auto"/>
                    <w:right w:val="none" w:sz="0" w:space="0" w:color="auto"/>
                  </w:divBdr>
                  <w:divsChild>
                    <w:div w:id="3411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886651">
      <w:bodyDiv w:val="1"/>
      <w:marLeft w:val="0"/>
      <w:marRight w:val="0"/>
      <w:marTop w:val="0"/>
      <w:marBottom w:val="0"/>
      <w:divBdr>
        <w:top w:val="none" w:sz="0" w:space="0" w:color="auto"/>
        <w:left w:val="none" w:sz="0" w:space="0" w:color="auto"/>
        <w:bottom w:val="none" w:sz="0" w:space="0" w:color="auto"/>
        <w:right w:val="none" w:sz="0" w:space="0" w:color="auto"/>
      </w:divBdr>
    </w:div>
    <w:div w:id="915700392">
      <w:bodyDiv w:val="1"/>
      <w:marLeft w:val="0"/>
      <w:marRight w:val="0"/>
      <w:marTop w:val="0"/>
      <w:marBottom w:val="0"/>
      <w:divBdr>
        <w:top w:val="none" w:sz="0" w:space="0" w:color="auto"/>
        <w:left w:val="none" w:sz="0" w:space="0" w:color="auto"/>
        <w:bottom w:val="none" w:sz="0" w:space="0" w:color="auto"/>
        <w:right w:val="none" w:sz="0" w:space="0" w:color="auto"/>
      </w:divBdr>
      <w:divsChild>
        <w:div w:id="930047058">
          <w:marLeft w:val="0"/>
          <w:marRight w:val="0"/>
          <w:marTop w:val="0"/>
          <w:marBottom w:val="0"/>
          <w:divBdr>
            <w:top w:val="none" w:sz="0" w:space="0" w:color="auto"/>
            <w:left w:val="none" w:sz="0" w:space="0" w:color="auto"/>
            <w:bottom w:val="none" w:sz="0" w:space="0" w:color="auto"/>
            <w:right w:val="none" w:sz="0" w:space="0" w:color="auto"/>
          </w:divBdr>
          <w:divsChild>
            <w:div w:id="1309171893">
              <w:marLeft w:val="0"/>
              <w:marRight w:val="0"/>
              <w:marTop w:val="0"/>
              <w:marBottom w:val="0"/>
              <w:divBdr>
                <w:top w:val="none" w:sz="0" w:space="0" w:color="auto"/>
                <w:left w:val="none" w:sz="0" w:space="0" w:color="auto"/>
                <w:bottom w:val="none" w:sz="0" w:space="0" w:color="auto"/>
                <w:right w:val="none" w:sz="0" w:space="0" w:color="auto"/>
              </w:divBdr>
              <w:divsChild>
                <w:div w:id="538933675">
                  <w:marLeft w:val="0"/>
                  <w:marRight w:val="0"/>
                  <w:marTop w:val="0"/>
                  <w:marBottom w:val="0"/>
                  <w:divBdr>
                    <w:top w:val="none" w:sz="0" w:space="0" w:color="auto"/>
                    <w:left w:val="none" w:sz="0" w:space="0" w:color="auto"/>
                    <w:bottom w:val="none" w:sz="0" w:space="0" w:color="auto"/>
                    <w:right w:val="none" w:sz="0" w:space="0" w:color="auto"/>
                  </w:divBdr>
                  <w:divsChild>
                    <w:div w:id="14139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17029">
      <w:bodyDiv w:val="1"/>
      <w:marLeft w:val="0"/>
      <w:marRight w:val="0"/>
      <w:marTop w:val="0"/>
      <w:marBottom w:val="0"/>
      <w:divBdr>
        <w:top w:val="none" w:sz="0" w:space="0" w:color="auto"/>
        <w:left w:val="none" w:sz="0" w:space="0" w:color="auto"/>
        <w:bottom w:val="none" w:sz="0" w:space="0" w:color="auto"/>
        <w:right w:val="none" w:sz="0" w:space="0" w:color="auto"/>
      </w:divBdr>
      <w:divsChild>
        <w:div w:id="741219108">
          <w:marLeft w:val="0"/>
          <w:marRight w:val="0"/>
          <w:marTop w:val="0"/>
          <w:marBottom w:val="0"/>
          <w:divBdr>
            <w:top w:val="none" w:sz="0" w:space="0" w:color="auto"/>
            <w:left w:val="none" w:sz="0" w:space="0" w:color="auto"/>
            <w:bottom w:val="none" w:sz="0" w:space="0" w:color="auto"/>
            <w:right w:val="none" w:sz="0" w:space="0" w:color="auto"/>
          </w:divBdr>
          <w:divsChild>
            <w:div w:id="992753459">
              <w:marLeft w:val="0"/>
              <w:marRight w:val="0"/>
              <w:marTop w:val="0"/>
              <w:marBottom w:val="0"/>
              <w:divBdr>
                <w:top w:val="none" w:sz="0" w:space="0" w:color="auto"/>
                <w:left w:val="none" w:sz="0" w:space="0" w:color="auto"/>
                <w:bottom w:val="none" w:sz="0" w:space="0" w:color="auto"/>
                <w:right w:val="none" w:sz="0" w:space="0" w:color="auto"/>
              </w:divBdr>
              <w:divsChild>
                <w:div w:id="262957422">
                  <w:marLeft w:val="0"/>
                  <w:marRight w:val="0"/>
                  <w:marTop w:val="0"/>
                  <w:marBottom w:val="0"/>
                  <w:divBdr>
                    <w:top w:val="none" w:sz="0" w:space="0" w:color="auto"/>
                    <w:left w:val="none" w:sz="0" w:space="0" w:color="auto"/>
                    <w:bottom w:val="none" w:sz="0" w:space="0" w:color="auto"/>
                    <w:right w:val="none" w:sz="0" w:space="0" w:color="auto"/>
                  </w:divBdr>
                  <w:divsChild>
                    <w:div w:id="12359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050083">
      <w:bodyDiv w:val="1"/>
      <w:marLeft w:val="0"/>
      <w:marRight w:val="0"/>
      <w:marTop w:val="0"/>
      <w:marBottom w:val="0"/>
      <w:divBdr>
        <w:top w:val="none" w:sz="0" w:space="0" w:color="auto"/>
        <w:left w:val="none" w:sz="0" w:space="0" w:color="auto"/>
        <w:bottom w:val="none" w:sz="0" w:space="0" w:color="auto"/>
        <w:right w:val="none" w:sz="0" w:space="0" w:color="auto"/>
      </w:divBdr>
      <w:divsChild>
        <w:div w:id="1072393232">
          <w:marLeft w:val="0"/>
          <w:marRight w:val="0"/>
          <w:marTop w:val="0"/>
          <w:marBottom w:val="0"/>
          <w:divBdr>
            <w:top w:val="none" w:sz="0" w:space="0" w:color="auto"/>
            <w:left w:val="none" w:sz="0" w:space="0" w:color="auto"/>
            <w:bottom w:val="none" w:sz="0" w:space="0" w:color="auto"/>
            <w:right w:val="none" w:sz="0" w:space="0" w:color="auto"/>
          </w:divBdr>
          <w:divsChild>
            <w:div w:id="1413626475">
              <w:marLeft w:val="0"/>
              <w:marRight w:val="0"/>
              <w:marTop w:val="0"/>
              <w:marBottom w:val="0"/>
              <w:divBdr>
                <w:top w:val="none" w:sz="0" w:space="0" w:color="auto"/>
                <w:left w:val="none" w:sz="0" w:space="0" w:color="auto"/>
                <w:bottom w:val="none" w:sz="0" w:space="0" w:color="auto"/>
                <w:right w:val="none" w:sz="0" w:space="0" w:color="auto"/>
              </w:divBdr>
              <w:divsChild>
                <w:div w:id="277687962">
                  <w:marLeft w:val="0"/>
                  <w:marRight w:val="0"/>
                  <w:marTop w:val="0"/>
                  <w:marBottom w:val="0"/>
                  <w:divBdr>
                    <w:top w:val="none" w:sz="0" w:space="0" w:color="auto"/>
                    <w:left w:val="none" w:sz="0" w:space="0" w:color="auto"/>
                    <w:bottom w:val="none" w:sz="0" w:space="0" w:color="auto"/>
                    <w:right w:val="none" w:sz="0" w:space="0" w:color="auto"/>
                  </w:divBdr>
                  <w:divsChild>
                    <w:div w:id="19552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122373">
      <w:bodyDiv w:val="1"/>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61011970">
              <w:marLeft w:val="0"/>
              <w:marRight w:val="0"/>
              <w:marTop w:val="0"/>
              <w:marBottom w:val="0"/>
              <w:divBdr>
                <w:top w:val="none" w:sz="0" w:space="0" w:color="auto"/>
                <w:left w:val="none" w:sz="0" w:space="0" w:color="auto"/>
                <w:bottom w:val="none" w:sz="0" w:space="0" w:color="auto"/>
                <w:right w:val="none" w:sz="0" w:space="0" w:color="auto"/>
              </w:divBdr>
              <w:divsChild>
                <w:div w:id="2114207290">
                  <w:marLeft w:val="0"/>
                  <w:marRight w:val="0"/>
                  <w:marTop w:val="0"/>
                  <w:marBottom w:val="0"/>
                  <w:divBdr>
                    <w:top w:val="none" w:sz="0" w:space="0" w:color="auto"/>
                    <w:left w:val="none" w:sz="0" w:space="0" w:color="auto"/>
                    <w:bottom w:val="none" w:sz="0" w:space="0" w:color="auto"/>
                    <w:right w:val="none" w:sz="0" w:space="0" w:color="auto"/>
                  </w:divBdr>
                  <w:divsChild>
                    <w:div w:id="3934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062476">
      <w:bodyDiv w:val="1"/>
      <w:marLeft w:val="0"/>
      <w:marRight w:val="0"/>
      <w:marTop w:val="0"/>
      <w:marBottom w:val="0"/>
      <w:divBdr>
        <w:top w:val="none" w:sz="0" w:space="0" w:color="auto"/>
        <w:left w:val="none" w:sz="0" w:space="0" w:color="auto"/>
        <w:bottom w:val="none" w:sz="0" w:space="0" w:color="auto"/>
        <w:right w:val="none" w:sz="0" w:space="0" w:color="auto"/>
      </w:divBdr>
      <w:divsChild>
        <w:div w:id="628825629">
          <w:marLeft w:val="0"/>
          <w:marRight w:val="0"/>
          <w:marTop w:val="0"/>
          <w:marBottom w:val="0"/>
          <w:divBdr>
            <w:top w:val="none" w:sz="0" w:space="0" w:color="auto"/>
            <w:left w:val="none" w:sz="0" w:space="0" w:color="auto"/>
            <w:bottom w:val="none" w:sz="0" w:space="0" w:color="auto"/>
            <w:right w:val="none" w:sz="0" w:space="0" w:color="auto"/>
          </w:divBdr>
          <w:divsChild>
            <w:div w:id="969748941">
              <w:marLeft w:val="0"/>
              <w:marRight w:val="0"/>
              <w:marTop w:val="0"/>
              <w:marBottom w:val="0"/>
              <w:divBdr>
                <w:top w:val="none" w:sz="0" w:space="0" w:color="auto"/>
                <w:left w:val="none" w:sz="0" w:space="0" w:color="auto"/>
                <w:bottom w:val="none" w:sz="0" w:space="0" w:color="auto"/>
                <w:right w:val="none" w:sz="0" w:space="0" w:color="auto"/>
              </w:divBdr>
              <w:divsChild>
                <w:div w:id="1654018409">
                  <w:marLeft w:val="0"/>
                  <w:marRight w:val="0"/>
                  <w:marTop w:val="0"/>
                  <w:marBottom w:val="0"/>
                  <w:divBdr>
                    <w:top w:val="none" w:sz="0" w:space="0" w:color="auto"/>
                    <w:left w:val="none" w:sz="0" w:space="0" w:color="auto"/>
                    <w:bottom w:val="none" w:sz="0" w:space="0" w:color="auto"/>
                    <w:right w:val="none" w:sz="0" w:space="0" w:color="auto"/>
                  </w:divBdr>
                  <w:divsChild>
                    <w:div w:id="11934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456879">
      <w:bodyDiv w:val="1"/>
      <w:marLeft w:val="0"/>
      <w:marRight w:val="0"/>
      <w:marTop w:val="0"/>
      <w:marBottom w:val="0"/>
      <w:divBdr>
        <w:top w:val="none" w:sz="0" w:space="0" w:color="auto"/>
        <w:left w:val="none" w:sz="0" w:space="0" w:color="auto"/>
        <w:bottom w:val="none" w:sz="0" w:space="0" w:color="auto"/>
        <w:right w:val="none" w:sz="0" w:space="0" w:color="auto"/>
      </w:divBdr>
      <w:divsChild>
        <w:div w:id="916599600">
          <w:marLeft w:val="0"/>
          <w:marRight w:val="0"/>
          <w:marTop w:val="0"/>
          <w:marBottom w:val="0"/>
          <w:divBdr>
            <w:top w:val="none" w:sz="0" w:space="0" w:color="auto"/>
            <w:left w:val="none" w:sz="0" w:space="0" w:color="auto"/>
            <w:bottom w:val="none" w:sz="0" w:space="0" w:color="auto"/>
            <w:right w:val="none" w:sz="0" w:space="0" w:color="auto"/>
          </w:divBdr>
          <w:divsChild>
            <w:div w:id="2082828778">
              <w:marLeft w:val="0"/>
              <w:marRight w:val="0"/>
              <w:marTop w:val="0"/>
              <w:marBottom w:val="0"/>
              <w:divBdr>
                <w:top w:val="none" w:sz="0" w:space="0" w:color="auto"/>
                <w:left w:val="none" w:sz="0" w:space="0" w:color="auto"/>
                <w:bottom w:val="none" w:sz="0" w:space="0" w:color="auto"/>
                <w:right w:val="none" w:sz="0" w:space="0" w:color="auto"/>
              </w:divBdr>
              <w:divsChild>
                <w:div w:id="2109692847">
                  <w:marLeft w:val="0"/>
                  <w:marRight w:val="0"/>
                  <w:marTop w:val="0"/>
                  <w:marBottom w:val="0"/>
                  <w:divBdr>
                    <w:top w:val="none" w:sz="0" w:space="0" w:color="auto"/>
                    <w:left w:val="none" w:sz="0" w:space="0" w:color="auto"/>
                    <w:bottom w:val="none" w:sz="0" w:space="0" w:color="auto"/>
                    <w:right w:val="none" w:sz="0" w:space="0" w:color="auto"/>
                  </w:divBdr>
                  <w:divsChild>
                    <w:div w:id="139985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58732">
      <w:bodyDiv w:val="1"/>
      <w:marLeft w:val="0"/>
      <w:marRight w:val="0"/>
      <w:marTop w:val="0"/>
      <w:marBottom w:val="0"/>
      <w:divBdr>
        <w:top w:val="none" w:sz="0" w:space="0" w:color="auto"/>
        <w:left w:val="none" w:sz="0" w:space="0" w:color="auto"/>
        <w:bottom w:val="none" w:sz="0" w:space="0" w:color="auto"/>
        <w:right w:val="none" w:sz="0" w:space="0" w:color="auto"/>
      </w:divBdr>
      <w:divsChild>
        <w:div w:id="767820235">
          <w:marLeft w:val="0"/>
          <w:marRight w:val="0"/>
          <w:marTop w:val="0"/>
          <w:marBottom w:val="0"/>
          <w:divBdr>
            <w:top w:val="none" w:sz="0" w:space="0" w:color="auto"/>
            <w:left w:val="none" w:sz="0" w:space="0" w:color="auto"/>
            <w:bottom w:val="none" w:sz="0" w:space="0" w:color="auto"/>
            <w:right w:val="none" w:sz="0" w:space="0" w:color="auto"/>
          </w:divBdr>
          <w:divsChild>
            <w:div w:id="2110269237">
              <w:marLeft w:val="0"/>
              <w:marRight w:val="0"/>
              <w:marTop w:val="0"/>
              <w:marBottom w:val="0"/>
              <w:divBdr>
                <w:top w:val="none" w:sz="0" w:space="0" w:color="auto"/>
                <w:left w:val="none" w:sz="0" w:space="0" w:color="auto"/>
                <w:bottom w:val="none" w:sz="0" w:space="0" w:color="auto"/>
                <w:right w:val="none" w:sz="0" w:space="0" w:color="auto"/>
              </w:divBdr>
              <w:divsChild>
                <w:div w:id="1107237132">
                  <w:marLeft w:val="0"/>
                  <w:marRight w:val="0"/>
                  <w:marTop w:val="0"/>
                  <w:marBottom w:val="0"/>
                  <w:divBdr>
                    <w:top w:val="none" w:sz="0" w:space="0" w:color="auto"/>
                    <w:left w:val="none" w:sz="0" w:space="0" w:color="auto"/>
                    <w:bottom w:val="none" w:sz="0" w:space="0" w:color="auto"/>
                    <w:right w:val="none" w:sz="0" w:space="0" w:color="auto"/>
                  </w:divBdr>
                  <w:divsChild>
                    <w:div w:id="17255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620998">
      <w:bodyDiv w:val="1"/>
      <w:marLeft w:val="0"/>
      <w:marRight w:val="0"/>
      <w:marTop w:val="0"/>
      <w:marBottom w:val="0"/>
      <w:divBdr>
        <w:top w:val="none" w:sz="0" w:space="0" w:color="auto"/>
        <w:left w:val="none" w:sz="0" w:space="0" w:color="auto"/>
        <w:bottom w:val="none" w:sz="0" w:space="0" w:color="auto"/>
        <w:right w:val="none" w:sz="0" w:space="0" w:color="auto"/>
      </w:divBdr>
      <w:divsChild>
        <w:div w:id="1833713341">
          <w:marLeft w:val="0"/>
          <w:marRight w:val="0"/>
          <w:marTop w:val="0"/>
          <w:marBottom w:val="0"/>
          <w:divBdr>
            <w:top w:val="none" w:sz="0" w:space="0" w:color="auto"/>
            <w:left w:val="none" w:sz="0" w:space="0" w:color="auto"/>
            <w:bottom w:val="none" w:sz="0" w:space="0" w:color="auto"/>
            <w:right w:val="none" w:sz="0" w:space="0" w:color="auto"/>
          </w:divBdr>
          <w:divsChild>
            <w:div w:id="1769160781">
              <w:marLeft w:val="0"/>
              <w:marRight w:val="0"/>
              <w:marTop w:val="0"/>
              <w:marBottom w:val="0"/>
              <w:divBdr>
                <w:top w:val="none" w:sz="0" w:space="0" w:color="auto"/>
                <w:left w:val="none" w:sz="0" w:space="0" w:color="auto"/>
                <w:bottom w:val="none" w:sz="0" w:space="0" w:color="auto"/>
                <w:right w:val="none" w:sz="0" w:space="0" w:color="auto"/>
              </w:divBdr>
              <w:divsChild>
                <w:div w:id="647127516">
                  <w:marLeft w:val="0"/>
                  <w:marRight w:val="0"/>
                  <w:marTop w:val="0"/>
                  <w:marBottom w:val="0"/>
                  <w:divBdr>
                    <w:top w:val="none" w:sz="0" w:space="0" w:color="auto"/>
                    <w:left w:val="none" w:sz="0" w:space="0" w:color="auto"/>
                    <w:bottom w:val="none" w:sz="0" w:space="0" w:color="auto"/>
                    <w:right w:val="none" w:sz="0" w:space="0" w:color="auto"/>
                  </w:divBdr>
                  <w:divsChild>
                    <w:div w:id="211697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261223">
      <w:bodyDiv w:val="1"/>
      <w:marLeft w:val="0"/>
      <w:marRight w:val="0"/>
      <w:marTop w:val="0"/>
      <w:marBottom w:val="0"/>
      <w:divBdr>
        <w:top w:val="none" w:sz="0" w:space="0" w:color="auto"/>
        <w:left w:val="none" w:sz="0" w:space="0" w:color="auto"/>
        <w:bottom w:val="none" w:sz="0" w:space="0" w:color="auto"/>
        <w:right w:val="none" w:sz="0" w:space="0" w:color="auto"/>
      </w:divBdr>
      <w:divsChild>
        <w:div w:id="965894066">
          <w:marLeft w:val="0"/>
          <w:marRight w:val="0"/>
          <w:marTop w:val="0"/>
          <w:marBottom w:val="0"/>
          <w:divBdr>
            <w:top w:val="none" w:sz="0" w:space="0" w:color="auto"/>
            <w:left w:val="none" w:sz="0" w:space="0" w:color="auto"/>
            <w:bottom w:val="none" w:sz="0" w:space="0" w:color="auto"/>
            <w:right w:val="none" w:sz="0" w:space="0" w:color="auto"/>
          </w:divBdr>
          <w:divsChild>
            <w:div w:id="171529287">
              <w:marLeft w:val="0"/>
              <w:marRight w:val="0"/>
              <w:marTop w:val="0"/>
              <w:marBottom w:val="0"/>
              <w:divBdr>
                <w:top w:val="none" w:sz="0" w:space="0" w:color="auto"/>
                <w:left w:val="none" w:sz="0" w:space="0" w:color="auto"/>
                <w:bottom w:val="none" w:sz="0" w:space="0" w:color="auto"/>
                <w:right w:val="none" w:sz="0" w:space="0" w:color="auto"/>
              </w:divBdr>
              <w:divsChild>
                <w:div w:id="635333823">
                  <w:marLeft w:val="0"/>
                  <w:marRight w:val="0"/>
                  <w:marTop w:val="0"/>
                  <w:marBottom w:val="0"/>
                  <w:divBdr>
                    <w:top w:val="none" w:sz="0" w:space="0" w:color="auto"/>
                    <w:left w:val="none" w:sz="0" w:space="0" w:color="auto"/>
                    <w:bottom w:val="none" w:sz="0" w:space="0" w:color="auto"/>
                    <w:right w:val="none" w:sz="0" w:space="0" w:color="auto"/>
                  </w:divBdr>
                  <w:divsChild>
                    <w:div w:id="17210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643840">
      <w:bodyDiv w:val="1"/>
      <w:marLeft w:val="0"/>
      <w:marRight w:val="0"/>
      <w:marTop w:val="0"/>
      <w:marBottom w:val="0"/>
      <w:divBdr>
        <w:top w:val="none" w:sz="0" w:space="0" w:color="auto"/>
        <w:left w:val="none" w:sz="0" w:space="0" w:color="auto"/>
        <w:bottom w:val="none" w:sz="0" w:space="0" w:color="auto"/>
        <w:right w:val="none" w:sz="0" w:space="0" w:color="auto"/>
      </w:divBdr>
      <w:divsChild>
        <w:div w:id="1435588743">
          <w:marLeft w:val="0"/>
          <w:marRight w:val="0"/>
          <w:marTop w:val="0"/>
          <w:marBottom w:val="0"/>
          <w:divBdr>
            <w:top w:val="none" w:sz="0" w:space="0" w:color="auto"/>
            <w:left w:val="none" w:sz="0" w:space="0" w:color="auto"/>
            <w:bottom w:val="none" w:sz="0" w:space="0" w:color="auto"/>
            <w:right w:val="none" w:sz="0" w:space="0" w:color="auto"/>
          </w:divBdr>
          <w:divsChild>
            <w:div w:id="1653832571">
              <w:marLeft w:val="0"/>
              <w:marRight w:val="0"/>
              <w:marTop w:val="0"/>
              <w:marBottom w:val="0"/>
              <w:divBdr>
                <w:top w:val="none" w:sz="0" w:space="0" w:color="auto"/>
                <w:left w:val="none" w:sz="0" w:space="0" w:color="auto"/>
                <w:bottom w:val="none" w:sz="0" w:space="0" w:color="auto"/>
                <w:right w:val="none" w:sz="0" w:space="0" w:color="auto"/>
              </w:divBdr>
              <w:divsChild>
                <w:div w:id="82799412">
                  <w:marLeft w:val="0"/>
                  <w:marRight w:val="0"/>
                  <w:marTop w:val="0"/>
                  <w:marBottom w:val="0"/>
                  <w:divBdr>
                    <w:top w:val="none" w:sz="0" w:space="0" w:color="auto"/>
                    <w:left w:val="none" w:sz="0" w:space="0" w:color="auto"/>
                    <w:bottom w:val="none" w:sz="0" w:space="0" w:color="auto"/>
                    <w:right w:val="none" w:sz="0" w:space="0" w:color="auto"/>
                  </w:divBdr>
                  <w:divsChild>
                    <w:div w:id="783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15271">
      <w:bodyDiv w:val="1"/>
      <w:marLeft w:val="0"/>
      <w:marRight w:val="0"/>
      <w:marTop w:val="0"/>
      <w:marBottom w:val="0"/>
      <w:divBdr>
        <w:top w:val="none" w:sz="0" w:space="0" w:color="auto"/>
        <w:left w:val="none" w:sz="0" w:space="0" w:color="auto"/>
        <w:bottom w:val="none" w:sz="0" w:space="0" w:color="auto"/>
        <w:right w:val="none" w:sz="0" w:space="0" w:color="auto"/>
      </w:divBdr>
      <w:divsChild>
        <w:div w:id="1476675595">
          <w:marLeft w:val="0"/>
          <w:marRight w:val="0"/>
          <w:marTop w:val="0"/>
          <w:marBottom w:val="0"/>
          <w:divBdr>
            <w:top w:val="none" w:sz="0" w:space="0" w:color="auto"/>
            <w:left w:val="none" w:sz="0" w:space="0" w:color="auto"/>
            <w:bottom w:val="none" w:sz="0" w:space="0" w:color="auto"/>
            <w:right w:val="none" w:sz="0" w:space="0" w:color="auto"/>
          </w:divBdr>
          <w:divsChild>
            <w:div w:id="100688485">
              <w:marLeft w:val="0"/>
              <w:marRight w:val="0"/>
              <w:marTop w:val="0"/>
              <w:marBottom w:val="0"/>
              <w:divBdr>
                <w:top w:val="none" w:sz="0" w:space="0" w:color="auto"/>
                <w:left w:val="none" w:sz="0" w:space="0" w:color="auto"/>
                <w:bottom w:val="none" w:sz="0" w:space="0" w:color="auto"/>
                <w:right w:val="none" w:sz="0" w:space="0" w:color="auto"/>
              </w:divBdr>
              <w:divsChild>
                <w:div w:id="1559321717">
                  <w:marLeft w:val="0"/>
                  <w:marRight w:val="0"/>
                  <w:marTop w:val="0"/>
                  <w:marBottom w:val="0"/>
                  <w:divBdr>
                    <w:top w:val="none" w:sz="0" w:space="0" w:color="auto"/>
                    <w:left w:val="none" w:sz="0" w:space="0" w:color="auto"/>
                    <w:bottom w:val="none" w:sz="0" w:space="0" w:color="auto"/>
                    <w:right w:val="none" w:sz="0" w:space="0" w:color="auto"/>
                  </w:divBdr>
                  <w:divsChild>
                    <w:div w:id="6377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1260">
      <w:bodyDiv w:val="1"/>
      <w:marLeft w:val="0"/>
      <w:marRight w:val="0"/>
      <w:marTop w:val="0"/>
      <w:marBottom w:val="0"/>
      <w:divBdr>
        <w:top w:val="none" w:sz="0" w:space="0" w:color="auto"/>
        <w:left w:val="none" w:sz="0" w:space="0" w:color="auto"/>
        <w:bottom w:val="none" w:sz="0" w:space="0" w:color="auto"/>
        <w:right w:val="none" w:sz="0" w:space="0" w:color="auto"/>
      </w:divBdr>
      <w:divsChild>
        <w:div w:id="1927494406">
          <w:marLeft w:val="0"/>
          <w:marRight w:val="0"/>
          <w:marTop w:val="0"/>
          <w:marBottom w:val="0"/>
          <w:divBdr>
            <w:top w:val="none" w:sz="0" w:space="0" w:color="auto"/>
            <w:left w:val="none" w:sz="0" w:space="0" w:color="auto"/>
            <w:bottom w:val="none" w:sz="0" w:space="0" w:color="auto"/>
            <w:right w:val="none" w:sz="0" w:space="0" w:color="auto"/>
          </w:divBdr>
          <w:divsChild>
            <w:div w:id="1854344089">
              <w:marLeft w:val="0"/>
              <w:marRight w:val="0"/>
              <w:marTop w:val="0"/>
              <w:marBottom w:val="0"/>
              <w:divBdr>
                <w:top w:val="none" w:sz="0" w:space="0" w:color="auto"/>
                <w:left w:val="none" w:sz="0" w:space="0" w:color="auto"/>
                <w:bottom w:val="none" w:sz="0" w:space="0" w:color="auto"/>
                <w:right w:val="none" w:sz="0" w:space="0" w:color="auto"/>
              </w:divBdr>
              <w:divsChild>
                <w:div w:id="69540845">
                  <w:marLeft w:val="0"/>
                  <w:marRight w:val="0"/>
                  <w:marTop w:val="0"/>
                  <w:marBottom w:val="0"/>
                  <w:divBdr>
                    <w:top w:val="none" w:sz="0" w:space="0" w:color="auto"/>
                    <w:left w:val="none" w:sz="0" w:space="0" w:color="auto"/>
                    <w:bottom w:val="none" w:sz="0" w:space="0" w:color="auto"/>
                    <w:right w:val="none" w:sz="0" w:space="0" w:color="auto"/>
                  </w:divBdr>
                  <w:divsChild>
                    <w:div w:id="136475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09258">
      <w:bodyDiv w:val="1"/>
      <w:marLeft w:val="0"/>
      <w:marRight w:val="0"/>
      <w:marTop w:val="0"/>
      <w:marBottom w:val="0"/>
      <w:divBdr>
        <w:top w:val="none" w:sz="0" w:space="0" w:color="auto"/>
        <w:left w:val="none" w:sz="0" w:space="0" w:color="auto"/>
        <w:bottom w:val="none" w:sz="0" w:space="0" w:color="auto"/>
        <w:right w:val="none" w:sz="0" w:space="0" w:color="auto"/>
      </w:divBdr>
    </w:div>
    <w:div w:id="1884245589">
      <w:bodyDiv w:val="1"/>
      <w:marLeft w:val="0"/>
      <w:marRight w:val="0"/>
      <w:marTop w:val="0"/>
      <w:marBottom w:val="0"/>
      <w:divBdr>
        <w:top w:val="none" w:sz="0" w:space="0" w:color="auto"/>
        <w:left w:val="none" w:sz="0" w:space="0" w:color="auto"/>
        <w:bottom w:val="none" w:sz="0" w:space="0" w:color="auto"/>
        <w:right w:val="none" w:sz="0" w:space="0" w:color="auto"/>
      </w:divBdr>
    </w:div>
    <w:div w:id="1913618234">
      <w:bodyDiv w:val="1"/>
      <w:marLeft w:val="0"/>
      <w:marRight w:val="0"/>
      <w:marTop w:val="0"/>
      <w:marBottom w:val="0"/>
      <w:divBdr>
        <w:top w:val="none" w:sz="0" w:space="0" w:color="auto"/>
        <w:left w:val="none" w:sz="0" w:space="0" w:color="auto"/>
        <w:bottom w:val="none" w:sz="0" w:space="0" w:color="auto"/>
        <w:right w:val="none" w:sz="0" w:space="0" w:color="auto"/>
      </w:divBdr>
    </w:div>
    <w:div w:id="1923946602">
      <w:bodyDiv w:val="1"/>
      <w:marLeft w:val="0"/>
      <w:marRight w:val="0"/>
      <w:marTop w:val="0"/>
      <w:marBottom w:val="0"/>
      <w:divBdr>
        <w:top w:val="none" w:sz="0" w:space="0" w:color="auto"/>
        <w:left w:val="none" w:sz="0" w:space="0" w:color="auto"/>
        <w:bottom w:val="none" w:sz="0" w:space="0" w:color="auto"/>
        <w:right w:val="none" w:sz="0" w:space="0" w:color="auto"/>
      </w:divBdr>
      <w:divsChild>
        <w:div w:id="135268659">
          <w:marLeft w:val="0"/>
          <w:marRight w:val="0"/>
          <w:marTop w:val="0"/>
          <w:marBottom w:val="0"/>
          <w:divBdr>
            <w:top w:val="none" w:sz="0" w:space="0" w:color="auto"/>
            <w:left w:val="none" w:sz="0" w:space="0" w:color="auto"/>
            <w:bottom w:val="none" w:sz="0" w:space="0" w:color="auto"/>
            <w:right w:val="none" w:sz="0" w:space="0" w:color="auto"/>
          </w:divBdr>
          <w:divsChild>
            <w:div w:id="932318729">
              <w:marLeft w:val="0"/>
              <w:marRight w:val="0"/>
              <w:marTop w:val="0"/>
              <w:marBottom w:val="0"/>
              <w:divBdr>
                <w:top w:val="none" w:sz="0" w:space="0" w:color="auto"/>
                <w:left w:val="none" w:sz="0" w:space="0" w:color="auto"/>
                <w:bottom w:val="none" w:sz="0" w:space="0" w:color="auto"/>
                <w:right w:val="none" w:sz="0" w:space="0" w:color="auto"/>
              </w:divBdr>
              <w:divsChild>
                <w:div w:id="862405998">
                  <w:marLeft w:val="0"/>
                  <w:marRight w:val="0"/>
                  <w:marTop w:val="0"/>
                  <w:marBottom w:val="0"/>
                  <w:divBdr>
                    <w:top w:val="none" w:sz="0" w:space="0" w:color="auto"/>
                    <w:left w:val="none" w:sz="0" w:space="0" w:color="auto"/>
                    <w:bottom w:val="none" w:sz="0" w:space="0" w:color="auto"/>
                    <w:right w:val="none" w:sz="0" w:space="0" w:color="auto"/>
                  </w:divBdr>
                  <w:divsChild>
                    <w:div w:id="35523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9819">
      <w:bodyDiv w:val="1"/>
      <w:marLeft w:val="0"/>
      <w:marRight w:val="0"/>
      <w:marTop w:val="0"/>
      <w:marBottom w:val="0"/>
      <w:divBdr>
        <w:top w:val="none" w:sz="0" w:space="0" w:color="auto"/>
        <w:left w:val="none" w:sz="0" w:space="0" w:color="auto"/>
        <w:bottom w:val="none" w:sz="0" w:space="0" w:color="auto"/>
        <w:right w:val="none" w:sz="0" w:space="0" w:color="auto"/>
      </w:divBdr>
    </w:div>
    <w:div w:id="1978103198">
      <w:bodyDiv w:val="1"/>
      <w:marLeft w:val="0"/>
      <w:marRight w:val="0"/>
      <w:marTop w:val="0"/>
      <w:marBottom w:val="0"/>
      <w:divBdr>
        <w:top w:val="none" w:sz="0" w:space="0" w:color="auto"/>
        <w:left w:val="none" w:sz="0" w:space="0" w:color="auto"/>
        <w:bottom w:val="none" w:sz="0" w:space="0" w:color="auto"/>
        <w:right w:val="none" w:sz="0" w:space="0" w:color="auto"/>
      </w:divBdr>
      <w:divsChild>
        <w:div w:id="2067138213">
          <w:marLeft w:val="0"/>
          <w:marRight w:val="0"/>
          <w:marTop w:val="0"/>
          <w:marBottom w:val="0"/>
          <w:divBdr>
            <w:top w:val="none" w:sz="0" w:space="0" w:color="auto"/>
            <w:left w:val="none" w:sz="0" w:space="0" w:color="auto"/>
            <w:bottom w:val="none" w:sz="0" w:space="0" w:color="auto"/>
            <w:right w:val="none" w:sz="0" w:space="0" w:color="auto"/>
          </w:divBdr>
          <w:divsChild>
            <w:div w:id="1986080584">
              <w:marLeft w:val="0"/>
              <w:marRight w:val="0"/>
              <w:marTop w:val="0"/>
              <w:marBottom w:val="0"/>
              <w:divBdr>
                <w:top w:val="none" w:sz="0" w:space="0" w:color="auto"/>
                <w:left w:val="none" w:sz="0" w:space="0" w:color="auto"/>
                <w:bottom w:val="none" w:sz="0" w:space="0" w:color="auto"/>
                <w:right w:val="none" w:sz="0" w:space="0" w:color="auto"/>
              </w:divBdr>
              <w:divsChild>
                <w:div w:id="1474712655">
                  <w:marLeft w:val="0"/>
                  <w:marRight w:val="0"/>
                  <w:marTop w:val="0"/>
                  <w:marBottom w:val="0"/>
                  <w:divBdr>
                    <w:top w:val="none" w:sz="0" w:space="0" w:color="auto"/>
                    <w:left w:val="none" w:sz="0" w:space="0" w:color="auto"/>
                    <w:bottom w:val="none" w:sz="0" w:space="0" w:color="auto"/>
                    <w:right w:val="none" w:sz="0" w:space="0" w:color="auto"/>
                  </w:divBdr>
                  <w:divsChild>
                    <w:div w:id="17099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983525">
      <w:bodyDiv w:val="1"/>
      <w:marLeft w:val="0"/>
      <w:marRight w:val="0"/>
      <w:marTop w:val="0"/>
      <w:marBottom w:val="0"/>
      <w:divBdr>
        <w:top w:val="none" w:sz="0" w:space="0" w:color="auto"/>
        <w:left w:val="none" w:sz="0" w:space="0" w:color="auto"/>
        <w:bottom w:val="none" w:sz="0" w:space="0" w:color="auto"/>
        <w:right w:val="none" w:sz="0" w:space="0" w:color="auto"/>
      </w:divBdr>
      <w:divsChild>
        <w:div w:id="746532850">
          <w:marLeft w:val="0"/>
          <w:marRight w:val="0"/>
          <w:marTop w:val="0"/>
          <w:marBottom w:val="0"/>
          <w:divBdr>
            <w:top w:val="none" w:sz="0" w:space="0" w:color="auto"/>
            <w:left w:val="none" w:sz="0" w:space="0" w:color="auto"/>
            <w:bottom w:val="none" w:sz="0" w:space="0" w:color="auto"/>
            <w:right w:val="none" w:sz="0" w:space="0" w:color="auto"/>
          </w:divBdr>
          <w:divsChild>
            <w:div w:id="1257834831">
              <w:marLeft w:val="0"/>
              <w:marRight w:val="0"/>
              <w:marTop w:val="0"/>
              <w:marBottom w:val="0"/>
              <w:divBdr>
                <w:top w:val="none" w:sz="0" w:space="0" w:color="auto"/>
                <w:left w:val="none" w:sz="0" w:space="0" w:color="auto"/>
                <w:bottom w:val="none" w:sz="0" w:space="0" w:color="auto"/>
                <w:right w:val="none" w:sz="0" w:space="0" w:color="auto"/>
              </w:divBdr>
              <w:divsChild>
                <w:div w:id="1412696977">
                  <w:marLeft w:val="0"/>
                  <w:marRight w:val="0"/>
                  <w:marTop w:val="0"/>
                  <w:marBottom w:val="0"/>
                  <w:divBdr>
                    <w:top w:val="none" w:sz="0" w:space="0" w:color="auto"/>
                    <w:left w:val="none" w:sz="0" w:space="0" w:color="auto"/>
                    <w:bottom w:val="none" w:sz="0" w:space="0" w:color="auto"/>
                    <w:right w:val="none" w:sz="0" w:space="0" w:color="auto"/>
                  </w:divBdr>
                  <w:divsChild>
                    <w:div w:id="13672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dms_ties/itu-r/md/23/wp1a/c/R23-WP1A-C-0006!!MSW-E.docx"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hyperlink" Target="https://www.itu.int/dms_pub/itu-r/opb/act/R-ACT-WRC.15-2023-PDF-E.pdf"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tu.int/dms_ties/itu-r/md/23/wp1a/c/R23-WP1A-C-0006!!MSW-E.docx" TargetMode="Externa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C:\Users\norton\AppData\Roaming\Microsoft\Templates\PE_BR.dotm</Template>
  <TotalTime>0</TotalTime>
  <Pages>12</Pages>
  <Words>3232</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Mike Marcus</cp:lastModifiedBy>
  <cp:revision>2</cp:revision>
  <cp:lastPrinted>2008-02-21T14:04:00Z</cp:lastPrinted>
  <dcterms:created xsi:type="dcterms:W3CDTF">2024-09-10T13:28:00Z</dcterms:created>
  <dcterms:modified xsi:type="dcterms:W3CDTF">2024-09-10T13:28:00Z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