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790A03" w:rsidRPr="00A02BF0" w14:paraId="0FFEA795" w14:textId="77777777" w:rsidTr="00B54F31">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61F5EEFC" w14:textId="77777777" w:rsidR="00790A03" w:rsidRPr="00A02BF0" w:rsidRDefault="00790A03" w:rsidP="00B54F31">
            <w:pPr>
              <w:pStyle w:val="TabletitleBR"/>
              <w:keepNext w:val="0"/>
              <w:keepLines w:val="0"/>
              <w:tabs>
                <w:tab w:val="center" w:pos="4680"/>
              </w:tabs>
              <w:suppressAutoHyphens/>
              <w:spacing w:after="0"/>
              <w:rPr>
                <w:spacing w:val="-3"/>
                <w:szCs w:val="24"/>
              </w:rPr>
            </w:pPr>
            <w:r w:rsidRPr="00A02BF0">
              <w:br w:type="page"/>
            </w:r>
            <w:r w:rsidRPr="00A02BF0">
              <w:rPr>
                <w:spacing w:val="-3"/>
                <w:szCs w:val="24"/>
              </w:rPr>
              <w:t>U.S. Radiocommunications Sector</w:t>
            </w:r>
          </w:p>
          <w:p w14:paraId="32DE2A04" w14:textId="77777777" w:rsidR="00790A03" w:rsidRPr="00A02BF0" w:rsidRDefault="00790A03" w:rsidP="00B54F31">
            <w:pPr>
              <w:pStyle w:val="TabletitleBR"/>
              <w:rPr>
                <w:spacing w:val="-3"/>
                <w:szCs w:val="24"/>
              </w:rPr>
            </w:pPr>
            <w:r w:rsidRPr="00A02BF0">
              <w:rPr>
                <w:spacing w:val="-3"/>
                <w:szCs w:val="24"/>
              </w:rPr>
              <w:t>Fact Sheet</w:t>
            </w:r>
          </w:p>
        </w:tc>
      </w:tr>
      <w:tr w:rsidR="00790A03" w:rsidRPr="00A02BF0" w14:paraId="390D08F6" w14:textId="77777777" w:rsidTr="00B54F31">
        <w:trPr>
          <w:trHeight w:val="951"/>
        </w:trPr>
        <w:tc>
          <w:tcPr>
            <w:tcW w:w="3984" w:type="dxa"/>
            <w:tcBorders>
              <w:left w:val="double" w:sz="6" w:space="0" w:color="auto"/>
            </w:tcBorders>
          </w:tcPr>
          <w:p w14:paraId="376FC796" w14:textId="77777777" w:rsidR="00790A03" w:rsidRPr="00A02BF0" w:rsidRDefault="00790A03" w:rsidP="00654F3B">
            <w:pPr>
              <w:spacing w:after="120"/>
              <w:ind w:left="900" w:right="144" w:hanging="756"/>
            </w:pPr>
            <w:r w:rsidRPr="00A02BF0">
              <w:rPr>
                <w:b/>
              </w:rPr>
              <w:t>Working Party</w:t>
            </w:r>
            <w:proofErr w:type="gramStart"/>
            <w:r w:rsidRPr="00A02BF0">
              <w:rPr>
                <w:b/>
              </w:rPr>
              <w:t>:</w:t>
            </w:r>
            <w:r w:rsidRPr="00A02BF0">
              <w:t xml:space="preserve">  ITU</w:t>
            </w:r>
            <w:proofErr w:type="gramEnd"/>
            <w:r w:rsidRPr="00A02BF0">
              <w:t>-R WP</w:t>
            </w:r>
            <w:r w:rsidR="00654F3B">
              <w:t>1A</w:t>
            </w:r>
          </w:p>
        </w:tc>
        <w:tc>
          <w:tcPr>
            <w:tcW w:w="5409" w:type="dxa"/>
            <w:tcBorders>
              <w:right w:val="double" w:sz="6" w:space="0" w:color="auto"/>
            </w:tcBorders>
          </w:tcPr>
          <w:p w14:paraId="564891C5" w14:textId="3C042196" w:rsidR="00790A03" w:rsidRPr="00A02BF0" w:rsidRDefault="00790A03" w:rsidP="00654F3B">
            <w:pPr>
              <w:spacing w:after="120"/>
              <w:ind w:left="144" w:right="144"/>
            </w:pPr>
            <w:r w:rsidRPr="00A02BF0">
              <w:rPr>
                <w:b/>
              </w:rPr>
              <w:t>Document No</w:t>
            </w:r>
            <w:proofErr w:type="gramStart"/>
            <w:r w:rsidRPr="00A02BF0">
              <w:rPr>
                <w:b/>
              </w:rPr>
              <w:t>:</w:t>
            </w:r>
            <w:r w:rsidRPr="00A02BF0">
              <w:t xml:space="preserve">  USWP</w:t>
            </w:r>
            <w:r w:rsidR="00654F3B">
              <w:t>1A</w:t>
            </w:r>
            <w:proofErr w:type="gramEnd"/>
            <w:r w:rsidRPr="00A02BF0">
              <w:t>-</w:t>
            </w:r>
            <w:r w:rsidR="00794500">
              <w:t>01</w:t>
            </w:r>
            <w:r w:rsidR="00E527B4">
              <w:t>_FS</w:t>
            </w:r>
          </w:p>
        </w:tc>
      </w:tr>
      <w:tr w:rsidR="00790A03" w:rsidRPr="00A02BF0" w14:paraId="2721504E" w14:textId="77777777" w:rsidTr="00B54F31">
        <w:trPr>
          <w:trHeight w:val="378"/>
        </w:trPr>
        <w:tc>
          <w:tcPr>
            <w:tcW w:w="3984" w:type="dxa"/>
            <w:tcBorders>
              <w:left w:val="double" w:sz="6" w:space="0" w:color="auto"/>
            </w:tcBorders>
          </w:tcPr>
          <w:p w14:paraId="441D8967" w14:textId="7AB0F51A" w:rsidR="00790A03" w:rsidRPr="00A02BF0" w:rsidRDefault="00790A03" w:rsidP="00790A03">
            <w:pPr>
              <w:ind w:left="144" w:right="144"/>
            </w:pPr>
            <w:r w:rsidRPr="00A02BF0">
              <w:rPr>
                <w:b/>
              </w:rPr>
              <w:t>Ref</w:t>
            </w:r>
            <w:proofErr w:type="gramStart"/>
            <w:r w:rsidRPr="00A02BF0">
              <w:rPr>
                <w:b/>
              </w:rPr>
              <w:t>:</w:t>
            </w:r>
            <w:r>
              <w:rPr>
                <w:b/>
              </w:rPr>
              <w:t xml:space="preserve">  </w:t>
            </w:r>
            <w:r w:rsidR="00793E20" w:rsidRPr="00F76AF4">
              <w:rPr>
                <w:bCs/>
              </w:rPr>
              <w:t>Report</w:t>
            </w:r>
            <w:proofErr w:type="gramEnd"/>
            <w:r w:rsidR="00793E20" w:rsidRPr="00F76AF4">
              <w:rPr>
                <w:bCs/>
              </w:rPr>
              <w:t xml:space="preserve"> ITU-R SM.2451-1, Att</w:t>
            </w:r>
            <w:r w:rsidR="00F76AF4" w:rsidRPr="00F76AF4">
              <w:rPr>
                <w:bCs/>
              </w:rPr>
              <w:t>achment 8</w:t>
            </w:r>
            <w:r>
              <w:rPr>
                <w:b/>
              </w:rPr>
              <w:br/>
            </w:r>
            <w:r w:rsidRPr="00B96F28">
              <w:t xml:space="preserve"> </w:t>
            </w:r>
          </w:p>
        </w:tc>
        <w:tc>
          <w:tcPr>
            <w:tcW w:w="5409" w:type="dxa"/>
            <w:tcBorders>
              <w:right w:val="double" w:sz="6" w:space="0" w:color="auto"/>
            </w:tcBorders>
          </w:tcPr>
          <w:p w14:paraId="3C2D0B8F" w14:textId="323565D7" w:rsidR="00790A03" w:rsidRPr="00A02BF0" w:rsidRDefault="00790A03" w:rsidP="006D17BF">
            <w:pPr>
              <w:tabs>
                <w:tab w:val="left" w:pos="162"/>
              </w:tabs>
              <w:ind w:left="612" w:right="144" w:hanging="468"/>
            </w:pPr>
            <w:r w:rsidRPr="00A02BF0">
              <w:rPr>
                <w:b/>
              </w:rPr>
              <w:t>Date</w:t>
            </w:r>
            <w:proofErr w:type="gramStart"/>
            <w:r w:rsidRPr="00A02BF0">
              <w:rPr>
                <w:b/>
              </w:rPr>
              <w:t>:</w:t>
            </w:r>
            <w:r w:rsidRPr="00A02BF0">
              <w:t xml:space="preserve">  </w:t>
            </w:r>
            <w:r w:rsidR="00F76AF4">
              <w:t>27</w:t>
            </w:r>
            <w:proofErr w:type="gramEnd"/>
            <w:r w:rsidR="00E972EA">
              <w:t xml:space="preserve"> January</w:t>
            </w:r>
            <w:r w:rsidR="00C52078">
              <w:t xml:space="preserve"> 20</w:t>
            </w:r>
            <w:r w:rsidR="00654F3B">
              <w:t>2</w:t>
            </w:r>
            <w:r w:rsidR="00A30D00">
              <w:t>5</w:t>
            </w:r>
          </w:p>
        </w:tc>
      </w:tr>
      <w:tr w:rsidR="00790A03" w:rsidRPr="00A02BF0" w14:paraId="0C7B374D" w14:textId="77777777" w:rsidTr="00B54F31">
        <w:trPr>
          <w:trHeight w:val="459"/>
        </w:trPr>
        <w:tc>
          <w:tcPr>
            <w:tcW w:w="9393" w:type="dxa"/>
            <w:gridSpan w:val="2"/>
            <w:tcBorders>
              <w:left w:val="double" w:sz="6" w:space="0" w:color="auto"/>
              <w:right w:val="double" w:sz="6" w:space="0" w:color="auto"/>
            </w:tcBorders>
          </w:tcPr>
          <w:p w14:paraId="441294A1" w14:textId="43BE7913" w:rsidR="00790A03" w:rsidRDefault="00790A03" w:rsidP="00790A03">
            <w:pPr>
              <w:pStyle w:val="Heading2"/>
              <w:rPr>
                <w:b w:val="0"/>
                <w:lang w:eastAsia="zh-CN"/>
              </w:rPr>
            </w:pPr>
            <w:r>
              <w:rPr>
                <w:bCs/>
                <w:szCs w:val="24"/>
              </w:rPr>
              <w:t xml:space="preserve">Document Title:  </w:t>
            </w:r>
            <w:r w:rsidRPr="00642C8A">
              <w:rPr>
                <w:b w:val="0"/>
                <w:lang w:eastAsia="zh-CN"/>
              </w:rPr>
              <w:t xml:space="preserve"> </w:t>
            </w:r>
            <w:r w:rsidR="00E972EA">
              <w:rPr>
                <w:b w:val="0"/>
                <w:lang w:eastAsia="zh-CN"/>
              </w:rPr>
              <w:t>Preliminary Draft Revision of Report ITU-R SM.2451-1</w:t>
            </w:r>
          </w:p>
          <w:p w14:paraId="17DCCB98" w14:textId="77777777" w:rsidR="00790A03" w:rsidRPr="00790A03" w:rsidRDefault="00790A03" w:rsidP="00790A03">
            <w:pPr>
              <w:rPr>
                <w:lang w:val="en-GB" w:eastAsia="zh-CN"/>
              </w:rPr>
            </w:pPr>
          </w:p>
        </w:tc>
      </w:tr>
      <w:tr w:rsidR="00790A03" w:rsidRPr="00A02BF0" w14:paraId="6330DE18" w14:textId="77777777" w:rsidTr="00B54F31">
        <w:trPr>
          <w:trHeight w:val="1960"/>
        </w:trPr>
        <w:tc>
          <w:tcPr>
            <w:tcW w:w="3984" w:type="dxa"/>
            <w:tcBorders>
              <w:left w:val="double" w:sz="6" w:space="0" w:color="auto"/>
            </w:tcBorders>
          </w:tcPr>
          <w:p w14:paraId="6E053779" w14:textId="77777777" w:rsidR="00790A03" w:rsidRPr="00A02BF0" w:rsidRDefault="00790A03" w:rsidP="00B54F31">
            <w:pPr>
              <w:ind w:left="144" w:right="144"/>
              <w:rPr>
                <w:b/>
              </w:rPr>
            </w:pPr>
            <w:r w:rsidRPr="00A02BF0">
              <w:rPr>
                <w:b/>
              </w:rPr>
              <w:t>Author(s)/Contributors(s):</w:t>
            </w:r>
          </w:p>
          <w:p w14:paraId="592E0721" w14:textId="0559A59B" w:rsidR="00790A03" w:rsidRDefault="00E972EA" w:rsidP="00B54F31">
            <w:pPr>
              <w:ind w:left="144" w:right="144"/>
              <w:rPr>
                <w:bCs/>
                <w:iCs/>
              </w:rPr>
            </w:pPr>
            <w:r>
              <w:rPr>
                <w:bCs/>
                <w:iCs/>
              </w:rPr>
              <w:t>Robert Weller</w:t>
            </w:r>
          </w:p>
          <w:p w14:paraId="55D465A9" w14:textId="3BB6328A" w:rsidR="00790A03" w:rsidRDefault="00E972EA" w:rsidP="00B54F31">
            <w:pPr>
              <w:ind w:left="144" w:right="144"/>
              <w:rPr>
                <w:bCs/>
                <w:iCs/>
              </w:rPr>
            </w:pPr>
            <w:r>
              <w:rPr>
                <w:bCs/>
                <w:iCs/>
              </w:rPr>
              <w:t>National Association of Broadcasters</w:t>
            </w:r>
          </w:p>
          <w:p w14:paraId="524F4167" w14:textId="79F63922" w:rsidR="00790A03" w:rsidRPr="00A02BF0" w:rsidRDefault="00790A03" w:rsidP="00B54F31">
            <w:pPr>
              <w:ind w:left="144" w:right="144"/>
              <w:rPr>
                <w:bCs/>
                <w:iCs/>
              </w:rPr>
            </w:pPr>
          </w:p>
        </w:tc>
        <w:tc>
          <w:tcPr>
            <w:tcW w:w="5409" w:type="dxa"/>
            <w:tcBorders>
              <w:right w:val="double" w:sz="6" w:space="0" w:color="auto"/>
            </w:tcBorders>
          </w:tcPr>
          <w:p w14:paraId="458CE176" w14:textId="77777777" w:rsidR="00790A03" w:rsidRDefault="00790A03" w:rsidP="00B54F31">
            <w:pPr>
              <w:ind w:right="144"/>
              <w:rPr>
                <w:b/>
                <w:bCs/>
              </w:rPr>
            </w:pPr>
          </w:p>
          <w:p w14:paraId="6ED7AC6A" w14:textId="77777777" w:rsidR="00C234F4" w:rsidRDefault="00790A03" w:rsidP="00C234F4">
            <w:pPr>
              <w:ind w:right="144"/>
              <w:rPr>
                <w:bCs/>
              </w:rPr>
            </w:pPr>
            <w:r w:rsidRPr="00A02BF0">
              <w:rPr>
                <w:b/>
                <w:bCs/>
              </w:rPr>
              <w:t>Email</w:t>
            </w:r>
            <w:r>
              <w:rPr>
                <w:bCs/>
              </w:rPr>
              <w:t xml:space="preserve">:  </w:t>
            </w:r>
            <w:r w:rsidR="00E972EA">
              <w:rPr>
                <w:bCs/>
              </w:rPr>
              <w:t>rweller@nab.org</w:t>
            </w:r>
            <w:r w:rsidRPr="00A02BF0">
              <w:rPr>
                <w:bCs/>
              </w:rPr>
              <w:br/>
            </w:r>
            <w:r w:rsidRPr="00A02BF0">
              <w:rPr>
                <w:b/>
                <w:bCs/>
              </w:rPr>
              <w:t>Phone</w:t>
            </w:r>
            <w:r w:rsidRPr="00A02BF0">
              <w:rPr>
                <w:bCs/>
              </w:rPr>
              <w:t>:</w:t>
            </w:r>
            <w:r>
              <w:rPr>
                <w:bCs/>
              </w:rPr>
              <w:t xml:space="preserve">  </w:t>
            </w:r>
            <w:r w:rsidR="00E972EA">
              <w:rPr>
                <w:bCs/>
              </w:rPr>
              <w:t>202 429-5397</w:t>
            </w:r>
          </w:p>
          <w:p w14:paraId="0A0B00F8" w14:textId="7B5EDF16" w:rsidR="00790A03" w:rsidRPr="00F022CE" w:rsidRDefault="00790A03" w:rsidP="00C234F4">
            <w:pPr>
              <w:ind w:right="144"/>
              <w:rPr>
                <w:bCs/>
              </w:rPr>
            </w:pPr>
          </w:p>
        </w:tc>
      </w:tr>
      <w:tr w:rsidR="00790A03" w:rsidRPr="00A02BF0" w14:paraId="78A233BD" w14:textId="77777777" w:rsidTr="00B54F31">
        <w:trPr>
          <w:trHeight w:val="541"/>
        </w:trPr>
        <w:tc>
          <w:tcPr>
            <w:tcW w:w="9393" w:type="dxa"/>
            <w:gridSpan w:val="2"/>
            <w:tcBorders>
              <w:left w:val="double" w:sz="6" w:space="0" w:color="auto"/>
              <w:right w:val="double" w:sz="6" w:space="0" w:color="auto"/>
            </w:tcBorders>
          </w:tcPr>
          <w:p w14:paraId="64C51ACE" w14:textId="047054EE" w:rsidR="00790A03" w:rsidRPr="00A02BF0" w:rsidRDefault="00790A03" w:rsidP="00790A03">
            <w:pPr>
              <w:spacing w:after="120"/>
              <w:ind w:right="144"/>
            </w:pPr>
            <w:r w:rsidRPr="00A02BF0">
              <w:rPr>
                <w:b/>
              </w:rPr>
              <w:t>Purpose/Objective:</w:t>
            </w:r>
            <w:r w:rsidRPr="00A02BF0">
              <w:rPr>
                <w:bCs/>
              </w:rPr>
              <w:t xml:space="preserve"> </w:t>
            </w:r>
            <w:r w:rsidR="00565E10">
              <w:rPr>
                <w:bCs/>
              </w:rPr>
              <w:t xml:space="preserve">This contribution </w:t>
            </w:r>
            <w:r w:rsidR="009E7B00">
              <w:rPr>
                <w:bCs/>
              </w:rPr>
              <w:t>proposes</w:t>
            </w:r>
            <w:r w:rsidR="00846972">
              <w:rPr>
                <w:bCs/>
              </w:rPr>
              <w:t xml:space="preserve"> to </w:t>
            </w:r>
            <w:r w:rsidR="00565E10">
              <w:rPr>
                <w:bCs/>
              </w:rPr>
              <w:t xml:space="preserve">add </w:t>
            </w:r>
            <w:r w:rsidR="00251E6A">
              <w:rPr>
                <w:bCs/>
              </w:rPr>
              <w:t>a report</w:t>
            </w:r>
            <w:r w:rsidR="00565E10">
              <w:rPr>
                <w:bCs/>
              </w:rPr>
              <w:t xml:space="preserve"> </w:t>
            </w:r>
            <w:r w:rsidR="00251E6A">
              <w:rPr>
                <w:bCs/>
              </w:rPr>
              <w:t>on</w:t>
            </w:r>
            <w:r w:rsidR="00565E10">
              <w:rPr>
                <w:bCs/>
              </w:rPr>
              <w:t xml:space="preserve"> protection ratio testing to Annex 8 of SM.2451-1 that is relevant to Region 2, especially North America.  </w:t>
            </w:r>
          </w:p>
        </w:tc>
      </w:tr>
      <w:tr w:rsidR="00790A03" w:rsidRPr="00A02BF0" w14:paraId="1E04D48E" w14:textId="77777777" w:rsidTr="00B54F31">
        <w:trPr>
          <w:trHeight w:val="1380"/>
        </w:trPr>
        <w:tc>
          <w:tcPr>
            <w:tcW w:w="9393" w:type="dxa"/>
            <w:gridSpan w:val="2"/>
            <w:tcBorders>
              <w:left w:val="double" w:sz="6" w:space="0" w:color="auto"/>
              <w:bottom w:val="single" w:sz="12" w:space="0" w:color="auto"/>
              <w:right w:val="double" w:sz="6" w:space="0" w:color="auto"/>
            </w:tcBorders>
          </w:tcPr>
          <w:p w14:paraId="1FE7C14D" w14:textId="70EE3EBA" w:rsidR="00F1560E" w:rsidRDefault="00790A03" w:rsidP="00F1560E">
            <w:r w:rsidRPr="00A02BF0">
              <w:rPr>
                <w:b/>
              </w:rPr>
              <w:t>Abstract:</w:t>
            </w:r>
            <w:r w:rsidRPr="00A02BF0">
              <w:rPr>
                <w:bCs/>
              </w:rPr>
              <w:t xml:space="preserve">  </w:t>
            </w:r>
            <w:r w:rsidR="00F1560E" w:rsidRPr="00187194">
              <w:t xml:space="preserve"> AM broadcasting at MF (Band 6) frequencies is extremely popular in the Americas region (ITU-R Region 2) with thousands of AM stations serving listeners over geographical areas ranging from small cities to large regions. Region 2 MF stations broadcast on a 10 kHz channel raster. According to data tabulated in the 2024 edition of the</w:t>
            </w:r>
            <w:r w:rsidR="00766A47">
              <w:t xml:space="preserve"> World Radio </w:t>
            </w:r>
            <w:r w:rsidR="00D64802">
              <w:t>TV Handbook</w:t>
            </w:r>
            <w:r w:rsidR="00F1560E" w:rsidRPr="00187194">
              <w:t xml:space="preserve"> </w:t>
            </w:r>
            <w:r w:rsidR="00D64802">
              <w:t>(</w:t>
            </w:r>
            <w:r w:rsidR="00F1560E" w:rsidRPr="00187194">
              <w:t>WRTH</w:t>
            </w:r>
            <w:r w:rsidR="00D64802">
              <w:t>)</w:t>
            </w:r>
            <w:r w:rsidR="00F1560E" w:rsidRPr="00187194">
              <w:t>, there are 7,419 MF stations operating in ITU Region 2 on various channels from 530 to 1700 kHz.</w:t>
            </w:r>
          </w:p>
          <w:p w14:paraId="4907D468" w14:textId="77777777" w:rsidR="006D3443" w:rsidRDefault="006D3443" w:rsidP="00F1560E"/>
          <w:p w14:paraId="756905C7" w14:textId="0C8EE16E" w:rsidR="006D3443" w:rsidRPr="00187194" w:rsidRDefault="0050443A" w:rsidP="00F1560E">
            <w:r>
              <w:t>Wireless charging of electric vehicles (</w:t>
            </w:r>
            <w:r w:rsidR="006D3443" w:rsidRPr="00187194">
              <w:t>WPT-EV</w:t>
            </w:r>
            <w:r>
              <w:t>) is expected to</w:t>
            </w:r>
            <w:r w:rsidR="006D3443" w:rsidRPr="00187194">
              <w:t xml:space="preserve"> involve use of a fundamental frequency in the band 79-90 kHz. </w:t>
            </w:r>
            <w:r w:rsidR="00B73BBF">
              <w:t>This contribution in</w:t>
            </w:r>
            <w:r w:rsidR="0033517E">
              <w:t>cludes the results of a</w:t>
            </w:r>
            <w:r w:rsidR="00B73BBF" w:rsidRPr="00187194">
              <w:t xml:space="preserve"> </w:t>
            </w:r>
            <w:r w:rsidR="006D3443" w:rsidRPr="00187194">
              <w:t xml:space="preserve">perceptual interference study </w:t>
            </w:r>
            <w:r w:rsidR="0033517E">
              <w:t xml:space="preserve">that </w:t>
            </w:r>
            <w:r w:rsidR="006D3443" w:rsidRPr="00187194">
              <w:t>was recently conducted to determine how harmonic frequencies of emissions from WPT-EV systems can produce perceptible interference to AM radio reception and to determine minimally acceptable protection ratios. The study found that frequencies of 80, 85, or 90 kHz fare better in disguising obtrusive interactions with AM station frequencies in Region 2 on account of the relationship with the 10 kHz channel raster in Region 2. The study also found that protection ratios of 14 to 27.9 dB are needed to provide “acceptable” reception of AM stations</w:t>
            </w:r>
            <w:r w:rsidR="002C645D">
              <w:t xml:space="preserve"> at a particular signal level</w:t>
            </w:r>
            <w:r w:rsidR="006D3443" w:rsidRPr="00187194">
              <w:t xml:space="preserve"> in the presence of WPT-EV harmonic interference throughout the planned service and licensed service area</w:t>
            </w:r>
            <w:r w:rsidR="00353D1D">
              <w:t>.</w:t>
            </w:r>
          </w:p>
          <w:p w14:paraId="01A7D0E0" w14:textId="048ACE52" w:rsidR="00790A03" w:rsidRPr="00A02BF0" w:rsidRDefault="00F1560E" w:rsidP="00F1560E">
            <w:pPr>
              <w:tabs>
                <w:tab w:val="left" w:pos="794"/>
                <w:tab w:val="left" w:pos="1191"/>
                <w:tab w:val="left" w:pos="1588"/>
                <w:tab w:val="left" w:pos="1985"/>
              </w:tabs>
              <w:suppressAutoHyphens/>
              <w:rPr>
                <w:bCs/>
              </w:rPr>
            </w:pPr>
            <w:r w:rsidRPr="00187194">
              <w:t>.</w:t>
            </w:r>
          </w:p>
        </w:tc>
      </w:tr>
    </w:tbl>
    <w:p w14:paraId="3A5B0163" w14:textId="77777777" w:rsidR="00AF0AA9" w:rsidRDefault="00AF0AA9"/>
    <w:sectPr w:rsidR="00AF0AA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E412F" w14:textId="77777777" w:rsidR="00032676" w:rsidRDefault="00032676" w:rsidP="00D73705">
      <w:r>
        <w:separator/>
      </w:r>
    </w:p>
  </w:endnote>
  <w:endnote w:type="continuationSeparator" w:id="0">
    <w:p w14:paraId="2D42E605" w14:textId="77777777" w:rsidR="00032676" w:rsidRDefault="00032676" w:rsidP="00D73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23A4" w14:textId="77777777" w:rsidR="00D73705" w:rsidRDefault="00D73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09998" w14:textId="77777777" w:rsidR="00D73705" w:rsidRDefault="00D73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96E8" w14:textId="77777777" w:rsidR="00D73705" w:rsidRDefault="00D73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9874D" w14:textId="77777777" w:rsidR="00032676" w:rsidRDefault="00032676" w:rsidP="00D73705">
      <w:r>
        <w:separator/>
      </w:r>
    </w:p>
  </w:footnote>
  <w:footnote w:type="continuationSeparator" w:id="0">
    <w:p w14:paraId="241DA04C" w14:textId="77777777" w:rsidR="00032676" w:rsidRDefault="00032676" w:rsidP="00D73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C2A7" w14:textId="77777777" w:rsidR="00D73705" w:rsidRDefault="00D73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1E0D" w14:textId="77777777" w:rsidR="00D73705" w:rsidRDefault="00D737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4A8A" w14:textId="77777777" w:rsidR="00D73705" w:rsidRDefault="00D737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03"/>
    <w:rsid w:val="00032676"/>
    <w:rsid w:val="00115FEB"/>
    <w:rsid w:val="00181407"/>
    <w:rsid w:val="001928D6"/>
    <w:rsid w:val="001E7803"/>
    <w:rsid w:val="00234E57"/>
    <w:rsid w:val="00251E6A"/>
    <w:rsid w:val="002B24B5"/>
    <w:rsid w:val="002C645D"/>
    <w:rsid w:val="003245BC"/>
    <w:rsid w:val="0033517E"/>
    <w:rsid w:val="00353D1D"/>
    <w:rsid w:val="00377072"/>
    <w:rsid w:val="0039511D"/>
    <w:rsid w:val="003F7193"/>
    <w:rsid w:val="00404923"/>
    <w:rsid w:val="00434A34"/>
    <w:rsid w:val="004369A2"/>
    <w:rsid w:val="00496A0D"/>
    <w:rsid w:val="004A162C"/>
    <w:rsid w:val="0050443A"/>
    <w:rsid w:val="005135BE"/>
    <w:rsid w:val="00540FE9"/>
    <w:rsid w:val="005555F3"/>
    <w:rsid w:val="00564E1A"/>
    <w:rsid w:val="00565E10"/>
    <w:rsid w:val="005D3B45"/>
    <w:rsid w:val="00654F3B"/>
    <w:rsid w:val="0066026B"/>
    <w:rsid w:val="006769D1"/>
    <w:rsid w:val="006C1BBA"/>
    <w:rsid w:val="006D17BF"/>
    <w:rsid w:val="006D3443"/>
    <w:rsid w:val="0075172D"/>
    <w:rsid w:val="00764452"/>
    <w:rsid w:val="00766A47"/>
    <w:rsid w:val="00772DB8"/>
    <w:rsid w:val="00790A03"/>
    <w:rsid w:val="00793E20"/>
    <w:rsid w:val="00794500"/>
    <w:rsid w:val="008105AA"/>
    <w:rsid w:val="00846972"/>
    <w:rsid w:val="0089598A"/>
    <w:rsid w:val="008C1366"/>
    <w:rsid w:val="00926699"/>
    <w:rsid w:val="00957E23"/>
    <w:rsid w:val="00992801"/>
    <w:rsid w:val="009D3A44"/>
    <w:rsid w:val="009E7B00"/>
    <w:rsid w:val="00A30D00"/>
    <w:rsid w:val="00A30D7E"/>
    <w:rsid w:val="00A70ACC"/>
    <w:rsid w:val="00AB4BD7"/>
    <w:rsid w:val="00AF0AA9"/>
    <w:rsid w:val="00B73BBF"/>
    <w:rsid w:val="00C234F4"/>
    <w:rsid w:val="00C52078"/>
    <w:rsid w:val="00C65C75"/>
    <w:rsid w:val="00C727C0"/>
    <w:rsid w:val="00D15AB4"/>
    <w:rsid w:val="00D36D86"/>
    <w:rsid w:val="00D40FA3"/>
    <w:rsid w:val="00D64802"/>
    <w:rsid w:val="00D73705"/>
    <w:rsid w:val="00DC58AB"/>
    <w:rsid w:val="00DD44A6"/>
    <w:rsid w:val="00E47886"/>
    <w:rsid w:val="00E527B4"/>
    <w:rsid w:val="00E658D1"/>
    <w:rsid w:val="00E972EA"/>
    <w:rsid w:val="00F1560E"/>
    <w:rsid w:val="00F75D1F"/>
    <w:rsid w:val="00F76AF4"/>
    <w:rsid w:val="00FE4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D09EF"/>
  <w15:chartTrackingRefBased/>
  <w15:docId w15:val="{CDAC3248-A355-4886-BDE1-C8472E8E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A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90A0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1"/>
    <w:next w:val="Normal"/>
    <w:link w:val="Heading2Char"/>
    <w:qFormat/>
    <w:rsid w:val="00790A03"/>
    <w:pPr>
      <w:tabs>
        <w:tab w:val="left" w:pos="1134"/>
        <w:tab w:val="left" w:pos="1871"/>
        <w:tab w:val="left" w:pos="2268"/>
      </w:tabs>
      <w:overflowPunct w:val="0"/>
      <w:autoSpaceDE w:val="0"/>
      <w:autoSpaceDN w:val="0"/>
      <w:adjustRightInd w:val="0"/>
      <w:spacing w:before="200"/>
      <w:ind w:left="1134" w:hanging="1134"/>
      <w:textAlignment w:val="baseline"/>
      <w:outlineLvl w:val="1"/>
    </w:pPr>
    <w:rPr>
      <w:rFonts w:ascii="Times New Roman" w:eastAsia="Times New Roman" w:hAnsi="Times New Roman" w:cs="Times New Roman"/>
      <w:b/>
      <w:color w:val="auto"/>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90A03"/>
    <w:rPr>
      <w:rFonts w:ascii="Times New Roman" w:eastAsia="Times New Roman" w:hAnsi="Times New Roman" w:cs="Times New Roman"/>
      <w:b/>
      <w:sz w:val="24"/>
      <w:szCs w:val="20"/>
      <w:lang w:val="en-GB"/>
    </w:rPr>
  </w:style>
  <w:style w:type="paragraph" w:customStyle="1" w:styleId="TabletitleBR">
    <w:name w:val="Table_title_BR"/>
    <w:basedOn w:val="Normal"/>
    <w:next w:val="Normal"/>
    <w:qFormat/>
    <w:rsid w:val="00790A03"/>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basedOn w:val="DefaultParagraphFont"/>
    <w:unhideWhenUsed/>
    <w:rsid w:val="00790A03"/>
    <w:rPr>
      <w:color w:val="0563C1" w:themeColor="hyperlink"/>
      <w:u w:val="single"/>
    </w:rPr>
  </w:style>
  <w:style w:type="character" w:customStyle="1" w:styleId="Heading1Char">
    <w:name w:val="Heading 1 Char"/>
    <w:basedOn w:val="DefaultParagraphFont"/>
    <w:link w:val="Heading1"/>
    <w:uiPriority w:val="9"/>
    <w:rsid w:val="00790A0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73705"/>
    <w:pPr>
      <w:tabs>
        <w:tab w:val="center" w:pos="4680"/>
        <w:tab w:val="right" w:pos="9360"/>
      </w:tabs>
    </w:pPr>
  </w:style>
  <w:style w:type="character" w:customStyle="1" w:styleId="HeaderChar">
    <w:name w:val="Header Char"/>
    <w:basedOn w:val="DefaultParagraphFont"/>
    <w:link w:val="Header"/>
    <w:uiPriority w:val="99"/>
    <w:rsid w:val="00D737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73705"/>
    <w:pPr>
      <w:tabs>
        <w:tab w:val="center" w:pos="4680"/>
        <w:tab w:val="right" w:pos="9360"/>
      </w:tabs>
    </w:pPr>
  </w:style>
  <w:style w:type="character" w:customStyle="1" w:styleId="FooterChar">
    <w:name w:val="Footer Char"/>
    <w:basedOn w:val="DefaultParagraphFont"/>
    <w:link w:val="Footer"/>
    <w:uiPriority w:val="99"/>
    <w:rsid w:val="00D73705"/>
    <w:rPr>
      <w:rFonts w:ascii="Times New Roman" w:eastAsia="Times New Roman" w:hAnsi="Times New Roman" w:cs="Times New Roman"/>
      <w:sz w:val="24"/>
      <w:szCs w:val="24"/>
    </w:rPr>
  </w:style>
  <w:style w:type="character" w:styleId="FootnoteReference">
    <w:name w:val="footnote reference"/>
    <w:basedOn w:val="DefaultParagraphFont"/>
    <w:uiPriority w:val="5"/>
    <w:qFormat/>
    <w:rsid w:val="00F1560E"/>
    <w:rPr>
      <w:position w:val="6"/>
      <w:sz w:val="18"/>
    </w:rPr>
  </w:style>
  <w:style w:type="paragraph" w:styleId="FootnoteText">
    <w:name w:val="footnote text"/>
    <w:basedOn w:val="Normal"/>
    <w:link w:val="FootnoteTextChar"/>
    <w:uiPriority w:val="99"/>
    <w:rsid w:val="00F1560E"/>
    <w:pPr>
      <w:keepLines/>
      <w:tabs>
        <w:tab w:val="left" w:pos="255"/>
        <w:tab w:val="left" w:pos="1134"/>
        <w:tab w:val="left" w:pos="1871"/>
        <w:tab w:val="left" w:pos="2268"/>
      </w:tabs>
      <w:overflowPunct w:val="0"/>
      <w:autoSpaceDE w:val="0"/>
      <w:autoSpaceDN w:val="0"/>
      <w:adjustRightInd w:val="0"/>
      <w:spacing w:before="120"/>
      <w:textAlignment w:val="baseline"/>
    </w:pPr>
    <w:rPr>
      <w:szCs w:val="20"/>
      <w:lang w:val="en-GB"/>
    </w:rPr>
  </w:style>
  <w:style w:type="character" w:customStyle="1" w:styleId="FootnoteTextChar">
    <w:name w:val="Footnote Text Char"/>
    <w:basedOn w:val="DefaultParagraphFont"/>
    <w:link w:val="FootnoteText"/>
    <w:uiPriority w:val="99"/>
    <w:rsid w:val="00F1560E"/>
    <w:rPr>
      <w:rFonts w:ascii="Times New Roman" w:eastAsia="Times New Roman" w:hAnsi="Times New Roman" w:cs="Times New Roman"/>
      <w:sz w:val="24"/>
      <w:szCs w:val="20"/>
      <w:lang w:val="en-GB"/>
    </w:rPr>
  </w:style>
  <w:style w:type="paragraph" w:styleId="Revision">
    <w:name w:val="Revision"/>
    <w:hidden/>
    <w:uiPriority w:val="99"/>
    <w:semiHidden/>
    <w:rsid w:val="009E7B00"/>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46972"/>
    <w:rPr>
      <w:sz w:val="16"/>
      <w:szCs w:val="16"/>
    </w:rPr>
  </w:style>
  <w:style w:type="paragraph" w:styleId="CommentText">
    <w:name w:val="annotation text"/>
    <w:basedOn w:val="Normal"/>
    <w:link w:val="CommentTextChar"/>
    <w:uiPriority w:val="99"/>
    <w:unhideWhenUsed/>
    <w:rsid w:val="00846972"/>
    <w:rPr>
      <w:sz w:val="20"/>
      <w:szCs w:val="20"/>
    </w:rPr>
  </w:style>
  <w:style w:type="character" w:customStyle="1" w:styleId="CommentTextChar">
    <w:name w:val="Comment Text Char"/>
    <w:basedOn w:val="DefaultParagraphFont"/>
    <w:link w:val="CommentText"/>
    <w:uiPriority w:val="99"/>
    <w:rsid w:val="0084697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6972"/>
    <w:rPr>
      <w:b/>
      <w:bCs/>
    </w:rPr>
  </w:style>
  <w:style w:type="character" w:customStyle="1" w:styleId="CommentSubjectChar">
    <w:name w:val="Comment Subject Char"/>
    <w:basedOn w:val="CommentTextChar"/>
    <w:link w:val="CommentSubject"/>
    <w:uiPriority w:val="99"/>
    <w:semiHidden/>
    <w:rsid w:val="0084697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rweller@nab.org</dc:creator>
  <cp:keywords/>
  <dc:description/>
  <cp:lastModifiedBy>Weller, Robert</cp:lastModifiedBy>
  <cp:revision>2</cp:revision>
  <dcterms:created xsi:type="dcterms:W3CDTF">2025-01-27T22:24:00Z</dcterms:created>
  <dcterms:modified xsi:type="dcterms:W3CDTF">2025-01-27T22:24:00Z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5758c1-6df0-4e8d-a4f7-f588283d5d0d_Enabled">
    <vt:lpwstr>True</vt:lpwstr>
  </property>
  <property fmtid="{D5CDD505-2E9C-101B-9397-08002B2CF9AE}" pid="3" name="MSIP_Label_6b5758c1-6df0-4e8d-a4f7-f588283d5d0d_SiteId">
    <vt:lpwstr>d6cff1bd-67dd-4ce8-945d-d07dc775672f</vt:lpwstr>
  </property>
  <property fmtid="{D5CDD505-2E9C-101B-9397-08002B2CF9AE}" pid="4" name="MSIP_Label_6b5758c1-6df0-4e8d-a4f7-f588283d5d0d_Owner">
    <vt:lpwstr>asanders@ntia.doc.gov</vt:lpwstr>
  </property>
  <property fmtid="{D5CDD505-2E9C-101B-9397-08002B2CF9AE}" pid="5" name="MSIP_Label_6b5758c1-6df0-4e8d-a4f7-f588283d5d0d_SetDate">
    <vt:lpwstr>2020-01-27T14:25:36.9866463Z</vt:lpwstr>
  </property>
  <property fmtid="{D5CDD505-2E9C-101B-9397-08002B2CF9AE}" pid="6" name="MSIP_Label_6b5758c1-6df0-4e8d-a4f7-f588283d5d0d_Name">
    <vt:lpwstr>General</vt:lpwstr>
  </property>
  <property fmtid="{D5CDD505-2E9C-101B-9397-08002B2CF9AE}" pid="7" name="MSIP_Label_6b5758c1-6df0-4e8d-a4f7-f588283d5d0d_Application">
    <vt:lpwstr>Microsoft Azure Information Protection</vt:lpwstr>
  </property>
  <property fmtid="{D5CDD505-2E9C-101B-9397-08002B2CF9AE}" pid="8" name="MSIP_Label_6b5758c1-6df0-4e8d-a4f7-f588283d5d0d_Extended_MSFT_Method">
    <vt:lpwstr>Automatic</vt:lpwstr>
  </property>
  <property fmtid="{D5CDD505-2E9C-101B-9397-08002B2CF9AE}" pid="9" name="Sensitivity">
    <vt:lpwstr>General</vt:lpwstr>
  </property>
</Properties>
</file>