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E80399" w:rsidRDefault="000D6DA7" w:rsidP="00767C25">
            <w:pPr>
              <w:pStyle w:val="TabletitleBR"/>
              <w:keepNext w:val="0"/>
              <w:keepLines w:val="0"/>
              <w:tabs>
                <w:tab w:val="center" w:pos="4680"/>
              </w:tabs>
              <w:suppressAutoHyphens/>
              <w:spacing w:after="0"/>
              <w:rPr>
                <w:spacing w:val="-3"/>
                <w:sz w:val="22"/>
                <w:szCs w:val="22"/>
              </w:rPr>
            </w:pPr>
            <w:r w:rsidRPr="00E80399">
              <w:rPr>
                <w:spacing w:val="-3"/>
                <w:sz w:val="22"/>
                <w:szCs w:val="22"/>
              </w:rPr>
              <w:t>U.S. Radiocommunications Sector</w:t>
            </w:r>
          </w:p>
          <w:p w14:paraId="79D6DDAD" w14:textId="77777777" w:rsidR="000D6DA7" w:rsidRPr="00E80399" w:rsidRDefault="000D6DA7" w:rsidP="00767C25">
            <w:pPr>
              <w:pStyle w:val="TabletitleBR"/>
              <w:rPr>
                <w:spacing w:val="-3"/>
                <w:sz w:val="22"/>
                <w:szCs w:val="22"/>
              </w:rPr>
            </w:pPr>
            <w:r w:rsidRPr="00E80399">
              <w:rPr>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Pr="00E80399" w:rsidRDefault="000D6DA7" w:rsidP="00767C25">
            <w:pPr>
              <w:spacing w:after="120"/>
              <w:ind w:left="900" w:right="144" w:hanging="756"/>
            </w:pPr>
            <w:r w:rsidRPr="00E80399">
              <w:rPr>
                <w:b/>
              </w:rPr>
              <w:t>Working Party:</w:t>
            </w:r>
            <w:r w:rsidRPr="00E80399">
              <w:t xml:space="preserve">  ITU-R WP 5</w:t>
            </w:r>
            <w:r w:rsidR="004D714C" w:rsidRPr="00E80399">
              <w:t>C</w:t>
            </w:r>
          </w:p>
        </w:tc>
        <w:tc>
          <w:tcPr>
            <w:tcW w:w="5008" w:type="dxa"/>
            <w:gridSpan w:val="2"/>
            <w:tcBorders>
              <w:top w:val="single" w:sz="6" w:space="0" w:color="auto"/>
              <w:right w:val="double" w:sz="6" w:space="0" w:color="auto"/>
            </w:tcBorders>
          </w:tcPr>
          <w:p w14:paraId="61048F8B" w14:textId="5F8ECDAE" w:rsidR="000D6DA7" w:rsidRPr="00E80399" w:rsidRDefault="000D6DA7" w:rsidP="002B3DCA">
            <w:pPr>
              <w:spacing w:after="120"/>
              <w:ind w:left="144" w:right="144"/>
            </w:pPr>
            <w:r w:rsidRPr="00E80399">
              <w:rPr>
                <w:b/>
              </w:rPr>
              <w:t>Document No:</w:t>
            </w:r>
            <w:r w:rsidR="00EA1409" w:rsidRPr="00E80399">
              <w:t xml:space="preserve">  USWP5</w:t>
            </w:r>
            <w:r w:rsidR="004D714C" w:rsidRPr="00E80399">
              <w:t>C</w:t>
            </w:r>
            <w:r w:rsidR="00EA1409" w:rsidRPr="00E80399">
              <w:t>-</w:t>
            </w:r>
            <w:r w:rsidR="000C2BB9" w:rsidRPr="00E80399">
              <w:t>0</w:t>
            </w:r>
            <w:r w:rsidR="00E80399">
              <w:t>B</w:t>
            </w:r>
          </w:p>
        </w:tc>
      </w:tr>
      <w:tr w:rsidR="000D6DA7" w14:paraId="1FFDA5D2" w14:textId="77777777" w:rsidTr="00767C25">
        <w:trPr>
          <w:jc w:val="center"/>
        </w:trPr>
        <w:tc>
          <w:tcPr>
            <w:tcW w:w="4370" w:type="dxa"/>
            <w:tcBorders>
              <w:left w:val="double" w:sz="6" w:space="0" w:color="auto"/>
            </w:tcBorders>
          </w:tcPr>
          <w:p w14:paraId="35F17CA2" w14:textId="3D5FAA6C" w:rsidR="000D6DA7" w:rsidRPr="00E80399" w:rsidRDefault="000D6DA7" w:rsidP="00767C25">
            <w:pPr>
              <w:spacing w:before="0"/>
              <w:ind w:left="144" w:right="144"/>
            </w:pPr>
            <w:r w:rsidRPr="00E80399">
              <w:rPr>
                <w:b/>
              </w:rPr>
              <w:t>Ref:</w:t>
            </w:r>
            <w:r w:rsidRPr="00E80399">
              <w:t xml:space="preserve">  </w:t>
            </w:r>
            <w:r w:rsidR="00E80399">
              <w:t>Annex 1.2 and 1.3 of 5C/</w:t>
            </w:r>
            <w:hyperlink r:id="rId11" w:history="1">
              <w:r w:rsidR="00E80399" w:rsidRPr="00E80399">
                <w:rPr>
                  <w:rStyle w:val="Hyperlink"/>
                </w:rPr>
                <w:t>152</w:t>
              </w:r>
            </w:hyperlink>
          </w:p>
        </w:tc>
        <w:tc>
          <w:tcPr>
            <w:tcW w:w="5008" w:type="dxa"/>
            <w:gridSpan w:val="2"/>
            <w:tcBorders>
              <w:right w:val="double" w:sz="6" w:space="0" w:color="auto"/>
            </w:tcBorders>
          </w:tcPr>
          <w:p w14:paraId="0C47225B" w14:textId="3725C2DF" w:rsidR="000D6DA7" w:rsidRPr="00E80399" w:rsidRDefault="000D6DA7" w:rsidP="0017259F">
            <w:pPr>
              <w:tabs>
                <w:tab w:val="left" w:pos="162"/>
              </w:tabs>
              <w:spacing w:before="0"/>
              <w:ind w:left="612" w:right="144" w:hanging="468"/>
            </w:pPr>
            <w:r w:rsidRPr="00E80399">
              <w:rPr>
                <w:b/>
              </w:rPr>
              <w:t>Date:</w:t>
            </w:r>
            <w:r w:rsidR="00650E47" w:rsidRPr="00E80399">
              <w:t xml:space="preserve">  </w:t>
            </w:r>
            <w:r w:rsidR="000062EC" w:rsidRPr="00E80399">
              <w:t xml:space="preserve">March </w:t>
            </w:r>
            <w:r w:rsidR="005C4D61" w:rsidRPr="00E80399">
              <w:t>8</w:t>
            </w:r>
            <w:r w:rsidR="00CC035F" w:rsidRPr="00E80399">
              <w:t>, 202</w:t>
            </w:r>
            <w:r w:rsidR="00E80399">
              <w:t>5</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0F8947CF" w:rsidR="000D6DA7" w:rsidRPr="00E80399" w:rsidRDefault="000D6DA7" w:rsidP="0083037A">
            <w:pPr>
              <w:pStyle w:val="BodyTextIndent"/>
              <w:ind w:left="187"/>
              <w:rPr>
                <w:bCs/>
              </w:rPr>
            </w:pPr>
            <w:r w:rsidRPr="00E80399">
              <w:rPr>
                <w:b/>
                <w:bCs/>
              </w:rPr>
              <w:t>Document Title</w:t>
            </w:r>
            <w:proofErr w:type="gramStart"/>
            <w:r w:rsidRPr="00E80399">
              <w:rPr>
                <w:b/>
                <w:bCs/>
              </w:rPr>
              <w:t>:</w:t>
            </w:r>
            <w:r w:rsidRPr="00E80399">
              <w:rPr>
                <w:bCs/>
              </w:rPr>
              <w:t xml:space="preserve">  </w:t>
            </w:r>
            <w:r w:rsidR="00227341">
              <w:rPr>
                <w:bCs/>
              </w:rPr>
              <w:t>Elevation</w:t>
            </w:r>
            <w:proofErr w:type="gramEnd"/>
            <w:r w:rsidR="00227341">
              <w:rPr>
                <w:bCs/>
              </w:rPr>
              <w:t xml:space="preserve"> of </w:t>
            </w:r>
            <w:r w:rsidR="00E80399">
              <w:rPr>
                <w:bCs/>
              </w:rPr>
              <w:t>PDNRs ITU-R F.[D-BAND] and F.[W-BAND]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Pr="00E80399" w:rsidRDefault="000D6DA7" w:rsidP="00767C25">
            <w:pPr>
              <w:ind w:left="144" w:right="144"/>
              <w:rPr>
                <w:b/>
              </w:rPr>
            </w:pPr>
            <w:r w:rsidRPr="00E80399">
              <w:rPr>
                <w:b/>
              </w:rPr>
              <w:t>Author(s)/Contributors(s):</w:t>
            </w:r>
          </w:p>
          <w:p w14:paraId="4A403FC7" w14:textId="3D9C8460" w:rsidR="000D6DA7" w:rsidRPr="00E80399" w:rsidRDefault="00E80399" w:rsidP="00767C25">
            <w:pPr>
              <w:spacing w:before="0"/>
              <w:ind w:left="144" w:right="144"/>
              <w:rPr>
                <w:bCs/>
                <w:iCs/>
              </w:rPr>
            </w:pPr>
            <w:r>
              <w:rPr>
                <w:bCs/>
                <w:iCs/>
              </w:rPr>
              <w:t>Michael Mullinix</w:t>
            </w:r>
          </w:p>
          <w:p w14:paraId="1DDBA038" w14:textId="4B2B52DC" w:rsidR="000D6DA7" w:rsidRPr="00E80399" w:rsidRDefault="00E80399" w:rsidP="00767C25">
            <w:pPr>
              <w:spacing w:before="0"/>
              <w:ind w:left="144" w:right="144"/>
              <w:rPr>
                <w:bCs/>
                <w:iCs/>
              </w:rPr>
            </w:pPr>
            <w:r>
              <w:rPr>
                <w:bCs/>
                <w:iCs/>
              </w:rPr>
              <w:t>CTIA</w:t>
            </w:r>
          </w:p>
          <w:p w14:paraId="34DD58E8" w14:textId="77777777" w:rsidR="00F85351" w:rsidRPr="00E80399" w:rsidRDefault="00F85351" w:rsidP="004C757E">
            <w:pPr>
              <w:spacing w:before="0"/>
              <w:ind w:left="144" w:right="144"/>
              <w:rPr>
                <w:bCs/>
                <w:iCs/>
              </w:rPr>
            </w:pPr>
          </w:p>
          <w:p w14:paraId="00DFCE18" w14:textId="2D02FC1D" w:rsidR="002D4A04" w:rsidRPr="00E80399" w:rsidRDefault="002D4A04" w:rsidP="00E80399">
            <w:pPr>
              <w:spacing w:before="0"/>
              <w:ind w:left="144" w:right="144"/>
              <w:rPr>
                <w:bCs/>
                <w:iCs/>
                <w:lang w:val="it-IT"/>
              </w:rPr>
            </w:pPr>
          </w:p>
        </w:tc>
        <w:tc>
          <w:tcPr>
            <w:tcW w:w="4950" w:type="dxa"/>
            <w:tcBorders>
              <w:right w:val="double" w:sz="6" w:space="0" w:color="auto"/>
            </w:tcBorders>
          </w:tcPr>
          <w:p w14:paraId="24F215C2" w14:textId="77777777" w:rsidR="000D6DA7" w:rsidRPr="00E80399" w:rsidRDefault="000D6DA7" w:rsidP="00767C25">
            <w:pPr>
              <w:ind w:left="144" w:right="144"/>
              <w:rPr>
                <w:bCs/>
                <w:lang w:val="it-IT"/>
              </w:rPr>
            </w:pPr>
          </w:p>
          <w:p w14:paraId="76397F4D" w14:textId="3B74C24D" w:rsidR="000D6DA7" w:rsidRPr="00E80399" w:rsidRDefault="0056155A" w:rsidP="00767C25">
            <w:pPr>
              <w:spacing w:before="0"/>
              <w:ind w:left="144" w:right="144"/>
              <w:rPr>
                <w:bCs/>
                <w:lang w:val="fr-FR"/>
              </w:rPr>
            </w:pPr>
            <w:proofErr w:type="gramStart"/>
            <w:r w:rsidRPr="00E80399">
              <w:rPr>
                <w:bCs/>
                <w:lang w:val="fr-FR"/>
              </w:rPr>
              <w:t>Phone:</w:t>
            </w:r>
            <w:proofErr w:type="gramEnd"/>
            <w:r w:rsidRPr="00E80399">
              <w:rPr>
                <w:bCs/>
                <w:lang w:val="fr-FR"/>
              </w:rPr>
              <w:t xml:space="preserve"> </w:t>
            </w:r>
            <w:r w:rsidR="00E80399">
              <w:rPr>
                <w:bCs/>
                <w:lang w:val="fr-FR"/>
              </w:rPr>
              <w:t>301-639-7159</w:t>
            </w:r>
          </w:p>
          <w:p w14:paraId="16D5B1C9" w14:textId="06EE62B2" w:rsidR="000D6DA7" w:rsidRPr="00E80399" w:rsidRDefault="0056155A" w:rsidP="00767C25">
            <w:pPr>
              <w:spacing w:before="0"/>
              <w:ind w:left="144" w:right="144"/>
              <w:rPr>
                <w:bCs/>
                <w:color w:val="000000"/>
                <w:lang w:val="fr-FR"/>
              </w:rPr>
            </w:pPr>
            <w:proofErr w:type="gramStart"/>
            <w:r w:rsidRPr="00E80399">
              <w:rPr>
                <w:bCs/>
                <w:color w:val="000000"/>
                <w:lang w:val="fr-FR"/>
              </w:rPr>
              <w:t>Email:</w:t>
            </w:r>
            <w:proofErr w:type="gramEnd"/>
            <w:r w:rsidRPr="00E80399">
              <w:rPr>
                <w:bCs/>
                <w:color w:val="000000"/>
                <w:lang w:val="fr-FR"/>
              </w:rPr>
              <w:t xml:space="preserve"> </w:t>
            </w:r>
            <w:r w:rsidR="00E80399">
              <w:rPr>
                <w:bCs/>
                <w:color w:val="000000"/>
                <w:lang w:val="fr-FR"/>
              </w:rPr>
              <w:t>mmullinix@ctia.org</w:t>
            </w:r>
          </w:p>
          <w:p w14:paraId="593EE6F1" w14:textId="7074E50C" w:rsidR="00F85351" w:rsidRPr="00E80399" w:rsidRDefault="00F85351" w:rsidP="00F85351">
            <w:pPr>
              <w:spacing w:before="0"/>
              <w:ind w:right="144"/>
              <w:rPr>
                <w:bCs/>
                <w:color w:val="000000"/>
                <w:lang w:val="fr-FR"/>
              </w:rPr>
            </w:pPr>
          </w:p>
          <w:p w14:paraId="729EFE07" w14:textId="5A238A9F" w:rsidR="004C757E" w:rsidRPr="00E80399" w:rsidRDefault="0056155A" w:rsidP="00E80399">
            <w:pPr>
              <w:spacing w:before="0"/>
              <w:ind w:right="144"/>
              <w:rPr>
                <w:bCs/>
                <w:color w:val="000000"/>
                <w:lang w:val="fr-FR"/>
              </w:rPr>
            </w:pPr>
            <w:r w:rsidRPr="00E80399">
              <w:rPr>
                <w:bCs/>
                <w:lang w:val="fr-FR"/>
              </w:rPr>
              <w:t xml:space="preserve">  </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E66C010" w:rsidR="000D6DA7" w:rsidRPr="00E80399" w:rsidRDefault="000D6DA7" w:rsidP="00DC1771">
            <w:pPr>
              <w:spacing w:after="120"/>
              <w:ind w:left="187" w:right="144"/>
              <w:rPr>
                <w:bCs/>
              </w:rPr>
            </w:pPr>
            <w:r w:rsidRPr="00E80399">
              <w:rPr>
                <w:b/>
              </w:rPr>
              <w:t>Purpose/Objective:</w:t>
            </w:r>
            <w:r w:rsidRPr="00E80399">
              <w:rPr>
                <w:bCs/>
              </w:rPr>
              <w:t xml:space="preserve">  </w:t>
            </w:r>
            <w:bookmarkStart w:id="0" w:name="_Hlk30001984"/>
            <w:r w:rsidR="00647CCB" w:rsidRPr="00E80399">
              <w:rPr>
                <w:bCs/>
              </w:rPr>
              <w:t>This contribution</w:t>
            </w:r>
            <w:r w:rsidR="006D5EFE" w:rsidRPr="00E80399">
              <w:rPr>
                <w:bCs/>
              </w:rPr>
              <w:t xml:space="preserve"> proposes</w:t>
            </w:r>
            <w:bookmarkEnd w:id="0"/>
            <w:r w:rsidR="00E80399">
              <w:rPr>
                <w:bCs/>
              </w:rPr>
              <w:t xml:space="preserve"> modifications to WP 5C’s efforts to establish the channel arrangements for the 92 – 174.8 GHz frequency bands.</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E925B9C" w:rsidR="000D6DA7" w:rsidRPr="00E80399" w:rsidRDefault="000D6DA7" w:rsidP="00DB736D">
            <w:pPr>
              <w:spacing w:after="120"/>
              <w:ind w:left="187" w:right="144"/>
              <w:rPr>
                <w:bCs/>
                <w:lang w:val="en-US"/>
              </w:rPr>
            </w:pPr>
            <w:r w:rsidRPr="00E80399">
              <w:rPr>
                <w:b/>
              </w:rPr>
              <w:t>Abstract:</w:t>
            </w:r>
            <w:r w:rsidR="00D30DE8" w:rsidRPr="00E80399">
              <w:rPr>
                <w:bCs/>
              </w:rPr>
              <w:t xml:space="preserve">  </w:t>
            </w:r>
            <w:r w:rsidR="00E80399">
              <w:rPr>
                <w:bCs/>
              </w:rPr>
              <w:t xml:space="preserve">Working Party 5C has been working to finalize two new Recommendations on the use of the existing fixed service allocations in the W and D bands.  This contribution will </w:t>
            </w:r>
            <w:r w:rsidR="00227341">
              <w:rPr>
                <w:bCs/>
              </w:rPr>
              <w:t xml:space="preserve">offer the United States’ support to </w:t>
            </w:r>
            <w:r w:rsidR="00E80399">
              <w:rPr>
                <w:bCs/>
              </w:rPr>
              <w:t>elevat</w:t>
            </w:r>
            <w:r w:rsidR="00227341">
              <w:rPr>
                <w:bCs/>
              </w:rPr>
              <w:t>e</w:t>
            </w:r>
            <w:r w:rsidR="00E80399">
              <w:rPr>
                <w:bCs/>
              </w:rPr>
              <w:t xml:space="preserve"> the PDNRs to DNR status.</w:t>
            </w:r>
          </w:p>
        </w:tc>
      </w:tr>
    </w:tbl>
    <w:p w14:paraId="507A71CE" w14:textId="3BC318CF" w:rsidR="00E80399" w:rsidRDefault="00E80399">
      <w:pPr>
        <w:tabs>
          <w:tab w:val="clear" w:pos="1134"/>
          <w:tab w:val="clear" w:pos="1871"/>
          <w:tab w:val="clear" w:pos="2268"/>
        </w:tabs>
        <w:overflowPunct/>
        <w:autoSpaceDE/>
        <w:autoSpaceDN/>
        <w:adjustRightInd/>
        <w:spacing w:before="0"/>
        <w:textAlignment w:val="auto"/>
      </w:pPr>
    </w:p>
    <w:p w14:paraId="469B9803" w14:textId="77777777" w:rsidR="00E80399" w:rsidRDefault="00E80399">
      <w:pPr>
        <w:tabs>
          <w:tab w:val="clear" w:pos="1134"/>
          <w:tab w:val="clear" w:pos="1871"/>
          <w:tab w:val="clear" w:pos="2268"/>
        </w:tabs>
        <w:overflowPunct/>
        <w:autoSpaceDE/>
        <w:autoSpaceDN/>
        <w:adjustRightInd/>
        <w:spacing w:before="0"/>
        <w:textAlignment w:val="auto"/>
      </w:pPr>
      <w:r>
        <w:br w:type="page"/>
      </w:r>
    </w:p>
    <w:p w14:paraId="24BB2D3C"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 w:name="ditulogo"/>
            <w:bookmarkEnd w:id="1"/>
            <w:r>
              <w:rPr>
                <w:noProof/>
                <w:lang w:val="en-US"/>
              </w:rPr>
              <w:drawing>
                <wp:inline distT="0" distB="0" distL="0" distR="0" wp14:anchorId="35365F55" wp14:editId="2C76EFF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7017BF9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E80399">
              <w:t xml:space="preserve"> </w:t>
            </w:r>
            <w:r w:rsidR="00E80399" w:rsidRPr="00E80399">
              <w:rPr>
                <w:rFonts w:ascii="Verdana" w:hAnsi="Verdana"/>
                <w:sz w:val="20"/>
              </w:rPr>
              <w:t>Annex 1.2 and 1.3 of 5C/</w:t>
            </w:r>
            <w:hyperlink r:id="rId13" w:history="1">
              <w:r w:rsidR="00E80399" w:rsidRPr="00E80399">
                <w:rPr>
                  <w:rStyle w:val="Hyperlink"/>
                  <w:rFonts w:ascii="Verdana" w:hAnsi="Verdana"/>
                  <w:sz w:val="20"/>
                </w:rPr>
                <w:t>152</w:t>
              </w:r>
            </w:hyperlink>
          </w:p>
          <w:p w14:paraId="56C7CF62" w14:textId="08D347D2"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0B850311" w:rsidR="009F2ED2" w:rsidRPr="00801BBD" w:rsidRDefault="00E80399" w:rsidP="00C2563C">
            <w:pPr>
              <w:shd w:val="solid" w:color="FFFFFF" w:fill="FFFFFF"/>
              <w:spacing w:before="0" w:line="240" w:lineRule="atLeast"/>
              <w:rPr>
                <w:rFonts w:ascii="Verdana" w:hAnsi="Verdana"/>
                <w:sz w:val="20"/>
                <w:lang w:eastAsia="zh-CN"/>
              </w:rPr>
            </w:pPr>
            <w:r>
              <w:rPr>
                <w:rFonts w:ascii="Verdana" w:hAnsi="Verdana"/>
                <w:b/>
                <w:iCs/>
                <w:sz w:val="20"/>
                <w:lang w:eastAsia="zh-CN"/>
              </w:rPr>
              <w:t>Date</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56949C0D" w:rsidR="009F2ED2" w:rsidRDefault="00227341" w:rsidP="00C2563C">
            <w:pPr>
              <w:pStyle w:val="Title1"/>
              <w:rPr>
                <w:lang w:val="en-US" w:eastAsia="zh-CN"/>
              </w:rPr>
            </w:pPr>
            <w:bookmarkStart w:id="7" w:name="drec" w:colFirst="0" w:colLast="0"/>
            <w:bookmarkEnd w:id="6"/>
            <w:r>
              <w:rPr>
                <w:bCs/>
              </w:rPr>
              <w:t xml:space="preserve">Elevation of </w:t>
            </w:r>
            <w:r w:rsidR="00630FFF">
              <w:rPr>
                <w:bCs/>
              </w:rPr>
              <w:t>PDNR</w:t>
            </w:r>
            <w:r w:rsidR="00630FFF">
              <w:rPr>
                <w:bCs/>
              </w:rPr>
              <w:t>s</w:t>
            </w:r>
            <w:r w:rsidR="00630FFF">
              <w:rPr>
                <w:bCs/>
              </w:rPr>
              <w:t xml:space="preserve"> ITU-R F.[D-BAND] and F.[W-BAND]</w:t>
            </w:r>
          </w:p>
          <w:p w14:paraId="07A7D35B" w14:textId="04F2CEF1"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2C07F012" w14:textId="57CF1128" w:rsidR="00630FFF" w:rsidRDefault="00630FFF" w:rsidP="00630FFF">
      <w:pPr>
        <w:rPr>
          <w:lang w:eastAsia="ja-JP"/>
        </w:rPr>
      </w:pPr>
      <w:bookmarkStart w:id="9" w:name="dbreak"/>
      <w:bookmarkEnd w:id="8"/>
      <w:bookmarkEnd w:id="9"/>
      <w:r>
        <w:rPr>
          <w:rFonts w:hint="eastAsia"/>
          <w:lang w:eastAsia="ja-JP"/>
        </w:rPr>
        <w:t>W</w:t>
      </w:r>
      <w:r>
        <w:rPr>
          <w:lang w:eastAsia="ja-JP"/>
        </w:rPr>
        <w:t xml:space="preserve">orking </w:t>
      </w:r>
      <w:r>
        <w:rPr>
          <w:rFonts w:hint="eastAsia"/>
          <w:lang w:eastAsia="ja-JP"/>
        </w:rPr>
        <w:t>G</w:t>
      </w:r>
      <w:r>
        <w:rPr>
          <w:lang w:eastAsia="ja-JP"/>
        </w:rPr>
        <w:t>roup</w:t>
      </w:r>
      <w:r w:rsidR="00227341">
        <w:rPr>
          <w:lang w:eastAsia="ja-JP"/>
        </w:rPr>
        <w:t xml:space="preserve"> (WP)</w:t>
      </w:r>
      <w:r>
        <w:rPr>
          <w:rFonts w:hint="eastAsia"/>
          <w:lang w:eastAsia="ja-JP"/>
        </w:rPr>
        <w:t xml:space="preserve"> 5C</w:t>
      </w:r>
      <w:r>
        <w:rPr>
          <w:lang w:eastAsia="ja-JP"/>
        </w:rPr>
        <w:t xml:space="preserve"> has been developing radio frequency channel arrangements for existing primary fixed allocations in the 92 – 174.8 GHz frequency range to support the harmonization of new fixed service applications (see Annexes </w:t>
      </w:r>
      <w:hyperlink r:id="rId14" w:history="1">
        <w:r w:rsidRPr="00630FFF">
          <w:rPr>
            <w:rStyle w:val="Hyperlink"/>
            <w:lang w:eastAsia="ja-JP"/>
          </w:rPr>
          <w:t>1.2</w:t>
        </w:r>
      </w:hyperlink>
      <w:r>
        <w:rPr>
          <w:lang w:eastAsia="ja-JP"/>
        </w:rPr>
        <w:t xml:space="preserve"> and </w:t>
      </w:r>
      <w:hyperlink r:id="rId15" w:history="1">
        <w:r w:rsidRPr="00630FFF">
          <w:rPr>
            <w:rStyle w:val="Hyperlink"/>
            <w:lang w:eastAsia="ja-JP"/>
          </w:rPr>
          <w:t>1.3</w:t>
        </w:r>
      </w:hyperlink>
      <w:r>
        <w:rPr>
          <w:lang w:eastAsia="ja-JP"/>
        </w:rPr>
        <w:t xml:space="preserve">).  As noted in the WP 5C’s Chair Report, both Preliminary Draft New Recommendations are stable and mature.  </w:t>
      </w:r>
      <w:r w:rsidR="00227341">
        <w:rPr>
          <w:lang w:eastAsia="ja-JP"/>
        </w:rPr>
        <w:t>The</w:t>
      </w:r>
      <w:r>
        <w:rPr>
          <w:lang w:eastAsia="ja-JP"/>
        </w:rPr>
        <w:t xml:space="preserve"> United States </w:t>
      </w:r>
      <w:r w:rsidR="00227341">
        <w:rPr>
          <w:lang w:eastAsia="ja-JP"/>
        </w:rPr>
        <w:t>supports the elevation of these documents to Draft New Recommendation status and to Study Group 5 for approval.</w:t>
      </w:r>
    </w:p>
    <w:p w14:paraId="606D4734" w14:textId="42B91CFF" w:rsidR="00630FFF" w:rsidRDefault="00630FFF" w:rsidP="00630FFF">
      <w:pPr>
        <w:rPr>
          <w:lang w:eastAsia="ja-JP"/>
        </w:rPr>
      </w:pPr>
    </w:p>
    <w:tbl>
      <w:tblPr>
        <w:tblStyle w:val="TableGrid"/>
        <w:tblW w:w="0" w:type="auto"/>
        <w:tblLook w:val="04A0" w:firstRow="1" w:lastRow="0" w:firstColumn="1" w:lastColumn="0" w:noHBand="0" w:noVBand="1"/>
      </w:tblPr>
      <w:tblGrid>
        <w:gridCol w:w="9617"/>
      </w:tblGrid>
      <w:tr w:rsidR="00630FFF" w:rsidRPr="00227341" w14:paraId="3E8B8F52" w14:textId="77777777" w:rsidTr="0094343B">
        <w:tc>
          <w:tcPr>
            <w:tcW w:w="9617" w:type="dxa"/>
          </w:tcPr>
          <w:p w14:paraId="4AF54602" w14:textId="77777777" w:rsidR="00630FFF" w:rsidRPr="00227341" w:rsidRDefault="00630FFF" w:rsidP="0094343B">
            <w:pPr>
              <w:pStyle w:val="Tabletext"/>
              <w:rPr>
                <w:rFonts w:ascii="Times New Roman" w:hAnsi="Times New Roman" w:cs="Times New Roman"/>
                <w:highlight w:val="cyan"/>
                <w:lang w:eastAsia="ja-JP"/>
              </w:rPr>
            </w:pPr>
            <w:r w:rsidRPr="00227341">
              <w:rPr>
                <w:rFonts w:ascii="Times New Roman" w:eastAsia="Calibri" w:hAnsi="Times New Roman" w:cs="Times New Roman"/>
                <w:b/>
                <w:bCs/>
              </w:rPr>
              <w:t xml:space="preserve">Annex </w:t>
            </w:r>
            <w:hyperlink r:id="rId16" w:history="1">
              <w:r w:rsidRPr="00227341">
                <w:rPr>
                  <w:rStyle w:val="Hyperlink"/>
                  <w:rFonts w:ascii="Times New Roman" w:eastAsia="Calibri" w:hAnsi="Times New Roman"/>
                  <w:b/>
                  <w:bCs/>
                </w:rPr>
                <w:t>1.2</w:t>
              </w:r>
              <w:r w:rsidRPr="00227341">
                <w:rPr>
                  <w:rFonts w:ascii="Times New Roman" w:hAnsi="Times New Roman" w:cs="Times New Roman"/>
                </w:rPr>
                <w:t> </w:t>
              </w:r>
            </w:hyperlink>
            <w:r w:rsidRPr="00227341">
              <w:rPr>
                <w:rFonts w:ascii="Times New Roman" w:hAnsi="Times New Roman" w:cs="Times New Roman"/>
              </w:rPr>
              <w:t xml:space="preserve">– </w:t>
            </w:r>
            <w:r w:rsidRPr="00227341">
              <w:rPr>
                <w:rFonts w:ascii="Times New Roman" w:hAnsi="Times New Roman" w:cs="Times New Roman"/>
                <w:b/>
                <w:bCs/>
              </w:rPr>
              <w:t xml:space="preserve">Preliminary draft new Recommendation ITU-R F.[D-BAND] </w:t>
            </w:r>
          </w:p>
        </w:tc>
      </w:tr>
      <w:tr w:rsidR="00630FFF" w:rsidRPr="00227341" w14:paraId="04094B61" w14:textId="77777777" w:rsidTr="0094343B">
        <w:tc>
          <w:tcPr>
            <w:tcW w:w="9617" w:type="dxa"/>
          </w:tcPr>
          <w:p w14:paraId="0B061967" w14:textId="77777777" w:rsidR="00630FFF" w:rsidRPr="00227341" w:rsidRDefault="00630FFF" w:rsidP="0094343B">
            <w:pPr>
              <w:pStyle w:val="Tabletext"/>
              <w:jc w:val="both"/>
              <w:rPr>
                <w:rFonts w:ascii="Times New Roman" w:hAnsi="Times New Roman" w:cs="Times New Roman"/>
                <w:highlight w:val="cyan"/>
                <w:lang w:eastAsia="ja-JP"/>
              </w:rPr>
            </w:pPr>
            <w:r w:rsidRPr="00227341">
              <w:rPr>
                <w:rFonts w:ascii="Times New Roman" w:hAnsi="Times New Roman" w:cs="Times New Roman"/>
                <w:b/>
                <w:bCs/>
              </w:rPr>
              <w:t>Radio-frequency channel and block arrangements for fixed service systems operating in the 130-134 GHz, 141</w:t>
            </w:r>
            <w:r w:rsidRPr="00227341">
              <w:rPr>
                <w:rFonts w:ascii="Times New Roman" w:hAnsi="Times New Roman" w:cs="Times New Roman"/>
                <w:b/>
                <w:bCs/>
              </w:rPr>
              <w:noBreakHyphen/>
              <w:t>148.5 GHz, 151.5-164 GHz and 167-174.8 GHz ranges</w:t>
            </w:r>
          </w:p>
        </w:tc>
      </w:tr>
      <w:tr w:rsidR="00630FFF" w:rsidRPr="00227341" w14:paraId="7BB40C3E" w14:textId="77777777" w:rsidTr="0094343B">
        <w:tc>
          <w:tcPr>
            <w:tcW w:w="9617" w:type="dxa"/>
          </w:tcPr>
          <w:p w14:paraId="739D7C3C" w14:textId="77777777" w:rsidR="00630FFF" w:rsidRPr="00227341" w:rsidRDefault="00630FFF" w:rsidP="0094343B">
            <w:pPr>
              <w:pStyle w:val="Summary"/>
              <w:spacing w:before="40" w:after="40"/>
              <w:rPr>
                <w:rFonts w:ascii="Times New Roman" w:hAnsi="Times New Roman" w:cs="Times New Roman"/>
                <w:sz w:val="20"/>
                <w:highlight w:val="cyan"/>
                <w:lang w:val="en-GB"/>
              </w:rPr>
            </w:pPr>
            <w:r w:rsidRPr="00227341">
              <w:rPr>
                <w:rFonts w:ascii="Times New Roman" w:hAnsi="Times New Roman" w:cs="Times New Roman"/>
                <w:sz w:val="20"/>
                <w:lang w:val="en-GB"/>
              </w:rPr>
              <w:t>This Recommendation describes channel arrangements in the portions of the frequency range 130.0</w:t>
            </w:r>
            <w:r w:rsidRPr="00227341">
              <w:rPr>
                <w:rFonts w:ascii="Times New Roman" w:hAnsi="Times New Roman" w:cs="Times New Roman"/>
                <w:sz w:val="20"/>
                <w:lang w:val="en-GB"/>
              </w:rPr>
              <w:noBreakHyphen/>
              <w:t xml:space="preserve">174.8 GHz allocated to the fixed service. The arrangements are based on a 250 MHz basic channel raster from which </w:t>
            </w:r>
            <w:r w:rsidRPr="00227341">
              <w:rPr>
                <w:rFonts w:ascii="Times New Roman" w:hAnsi="Times New Roman" w:cs="Times New Roman"/>
                <w:i/>
                <w:iCs/>
                <w:sz w:val="20"/>
                <w:lang w:val="en-GB"/>
              </w:rPr>
              <w:t>N</w:t>
            </w:r>
            <w:r w:rsidRPr="00227341">
              <w:rPr>
                <w:rFonts w:ascii="Times New Roman" w:hAnsi="Times New Roman" w:cs="Times New Roman"/>
                <w:sz w:val="20"/>
                <w:lang w:val="en-GB"/>
              </w:rPr>
              <w:t> × 250 MHz channel size can be defined and are proposed for either frequency division duplex (FDD) or time division duplex (TDD) applications. Alternative duplex schemes, such as Flexible Frequency Division Duplex (</w:t>
            </w:r>
            <w:proofErr w:type="spellStart"/>
            <w:r w:rsidRPr="00227341">
              <w:rPr>
                <w:rFonts w:ascii="Times New Roman" w:hAnsi="Times New Roman" w:cs="Times New Roman"/>
                <w:sz w:val="20"/>
                <w:lang w:val="en-GB"/>
              </w:rPr>
              <w:t>fFDD</w:t>
            </w:r>
            <w:proofErr w:type="spellEnd"/>
            <w:r w:rsidRPr="00227341">
              <w:rPr>
                <w:rFonts w:ascii="Times New Roman" w:hAnsi="Times New Roman" w:cs="Times New Roman"/>
                <w:sz w:val="20"/>
                <w:lang w:val="en-GB"/>
              </w:rPr>
              <w:t>) or Full Duplex (FD), are also possible.</w:t>
            </w:r>
          </w:p>
        </w:tc>
      </w:tr>
    </w:tbl>
    <w:p w14:paraId="6C4A35D8" w14:textId="77777777" w:rsidR="00630FFF" w:rsidRPr="00227341" w:rsidRDefault="00630FFF" w:rsidP="00630FFF">
      <w:pPr>
        <w:pStyle w:val="Tablefin"/>
        <w:rPr>
          <w:highlight w:val="magenta"/>
        </w:rPr>
      </w:pPr>
    </w:p>
    <w:tbl>
      <w:tblPr>
        <w:tblStyle w:val="TableGrid"/>
        <w:tblW w:w="9621" w:type="dxa"/>
        <w:tblLook w:val="04A0" w:firstRow="1" w:lastRow="0" w:firstColumn="1" w:lastColumn="0" w:noHBand="0" w:noVBand="1"/>
      </w:tblPr>
      <w:tblGrid>
        <w:gridCol w:w="9621"/>
      </w:tblGrid>
      <w:tr w:rsidR="00630FFF" w:rsidRPr="00227341" w14:paraId="0C62B034" w14:textId="77777777" w:rsidTr="0094343B">
        <w:tc>
          <w:tcPr>
            <w:tcW w:w="9621" w:type="dxa"/>
          </w:tcPr>
          <w:p w14:paraId="76008106" w14:textId="77777777" w:rsidR="00630FFF" w:rsidRPr="00227341" w:rsidRDefault="00630FFF" w:rsidP="0094343B">
            <w:pPr>
              <w:pStyle w:val="Tabletext"/>
              <w:rPr>
                <w:rFonts w:ascii="Times New Roman" w:hAnsi="Times New Roman" w:cs="Times New Roman"/>
              </w:rPr>
            </w:pPr>
            <w:r w:rsidRPr="00227341">
              <w:rPr>
                <w:rFonts w:ascii="Times New Roman" w:eastAsia="Calibri" w:hAnsi="Times New Roman" w:cs="Times New Roman"/>
                <w:b/>
                <w:bCs/>
              </w:rPr>
              <w:t xml:space="preserve">Annex </w:t>
            </w:r>
            <w:hyperlink r:id="rId17" w:history="1">
              <w:r w:rsidRPr="00227341">
                <w:rPr>
                  <w:rStyle w:val="Hyperlink"/>
                  <w:rFonts w:ascii="Times New Roman" w:eastAsia="Calibri" w:hAnsi="Times New Roman"/>
                  <w:b/>
                  <w:bCs/>
                </w:rPr>
                <w:t>1.3</w:t>
              </w:r>
            </w:hyperlink>
            <w:r w:rsidRPr="00227341">
              <w:rPr>
                <w:rFonts w:ascii="Times New Roman" w:eastAsia="Calibri" w:hAnsi="Times New Roman" w:cs="Times New Roman"/>
                <w:i/>
                <w:iCs/>
              </w:rPr>
              <w:t xml:space="preserve"> </w:t>
            </w:r>
            <w:r w:rsidRPr="00227341">
              <w:rPr>
                <w:rFonts w:ascii="Times New Roman" w:hAnsi="Times New Roman" w:cs="Times New Roman"/>
              </w:rPr>
              <w:t xml:space="preserve">– </w:t>
            </w:r>
            <w:r w:rsidRPr="00227341">
              <w:rPr>
                <w:rFonts w:ascii="Times New Roman" w:hAnsi="Times New Roman" w:cs="Times New Roman"/>
                <w:b/>
                <w:bCs/>
              </w:rPr>
              <w:t>Preliminary draft new Recommendation ITU-R F.[W-BAND]</w:t>
            </w:r>
          </w:p>
        </w:tc>
      </w:tr>
      <w:tr w:rsidR="00630FFF" w:rsidRPr="00227341" w14:paraId="63564AAE" w14:textId="77777777" w:rsidTr="0094343B">
        <w:tc>
          <w:tcPr>
            <w:tcW w:w="9621" w:type="dxa"/>
          </w:tcPr>
          <w:p w14:paraId="410E7975" w14:textId="77777777" w:rsidR="00630FFF" w:rsidRPr="00227341" w:rsidRDefault="00630FFF" w:rsidP="0094343B">
            <w:pPr>
              <w:pStyle w:val="Tabletext"/>
              <w:rPr>
                <w:rFonts w:ascii="Times New Roman" w:hAnsi="Times New Roman" w:cs="Times New Roman"/>
                <w:highlight w:val="cyan"/>
                <w:lang w:eastAsia="ja-JP"/>
              </w:rPr>
            </w:pPr>
            <w:r w:rsidRPr="00227341">
              <w:rPr>
                <w:rFonts w:ascii="Times New Roman" w:hAnsi="Times New Roman" w:cs="Times New Roman"/>
                <w:b/>
                <w:bCs/>
              </w:rPr>
              <w:t>Radio-frequency channel and block arrangements for fixed service systems operating in the 92-94 GHz, 94.1</w:t>
            </w:r>
            <w:r w:rsidRPr="00227341">
              <w:rPr>
                <w:rFonts w:ascii="Times New Roman" w:hAnsi="Times New Roman" w:cs="Times New Roman"/>
                <w:b/>
                <w:bCs/>
              </w:rPr>
              <w:noBreakHyphen/>
              <w:t>100 GHz, 102-109.5 GHz and 111.8</w:t>
            </w:r>
            <w:r w:rsidRPr="00227341">
              <w:rPr>
                <w:rFonts w:ascii="Times New Roman" w:hAnsi="Times New Roman" w:cs="Times New Roman"/>
                <w:b/>
                <w:bCs/>
              </w:rPr>
              <w:noBreakHyphen/>
              <w:t>114.25 GHz ranges</w:t>
            </w:r>
          </w:p>
        </w:tc>
      </w:tr>
      <w:tr w:rsidR="00630FFF" w:rsidRPr="00227341" w14:paraId="29473172" w14:textId="77777777" w:rsidTr="0094343B">
        <w:tc>
          <w:tcPr>
            <w:tcW w:w="9621" w:type="dxa"/>
          </w:tcPr>
          <w:p w14:paraId="007BD280" w14:textId="77777777" w:rsidR="00630FFF" w:rsidRPr="00227341" w:rsidRDefault="00630FFF" w:rsidP="0094343B">
            <w:pPr>
              <w:pStyle w:val="Tabletext"/>
              <w:jc w:val="both"/>
              <w:rPr>
                <w:rFonts w:ascii="Times New Roman" w:eastAsiaTheme="minorEastAsia" w:hAnsi="Times New Roman" w:cs="Times New Roman"/>
                <w:iCs/>
                <w:highlight w:val="cyan"/>
                <w:lang w:eastAsia="ja-JP"/>
              </w:rPr>
            </w:pPr>
            <w:r w:rsidRPr="00227341">
              <w:rPr>
                <w:rFonts w:ascii="Times New Roman" w:hAnsi="Times New Roman" w:cs="Times New Roman"/>
                <w:color w:val="000000" w:themeColor="text1"/>
              </w:rPr>
              <w:t>This Recommendation describes channel and block arrangements in the portions of the frequency range 92.0</w:t>
            </w:r>
            <w:r w:rsidRPr="00227341">
              <w:rPr>
                <w:rFonts w:ascii="Times New Roman" w:hAnsi="Times New Roman" w:cs="Times New Roman"/>
                <w:color w:val="000000" w:themeColor="text1"/>
              </w:rPr>
              <w:noBreakHyphen/>
              <w:t>114.25 GHz allocated to the fixed service. The arrangements are based on a 250 MHz basic channel raster from which Nx250 MHz channel size can be defined and are proposed for either frequency division duplex (FDD) or time division duplex (TDD) applications. Alternative duplex schemes, such as Flexible Frequency Division Duplex (</w:t>
            </w:r>
            <w:proofErr w:type="spellStart"/>
            <w:r w:rsidRPr="00227341">
              <w:rPr>
                <w:rFonts w:ascii="Times New Roman" w:hAnsi="Times New Roman" w:cs="Times New Roman"/>
                <w:color w:val="000000" w:themeColor="text1"/>
              </w:rPr>
              <w:t>fFDD</w:t>
            </w:r>
            <w:proofErr w:type="spellEnd"/>
            <w:r w:rsidRPr="00227341">
              <w:rPr>
                <w:rFonts w:ascii="Times New Roman" w:hAnsi="Times New Roman" w:cs="Times New Roman"/>
                <w:color w:val="000000" w:themeColor="text1"/>
              </w:rPr>
              <w:t>) or Full Duplex (FD), are also possible.</w:t>
            </w:r>
          </w:p>
        </w:tc>
      </w:tr>
    </w:tbl>
    <w:p w14:paraId="09D197B0" w14:textId="77777777" w:rsidR="00630FFF" w:rsidRDefault="00630FFF" w:rsidP="009F2ED2">
      <w:pPr>
        <w:rPr>
          <w:bCs/>
          <w:lang w:eastAsia="zh-CN"/>
        </w:rPr>
      </w:pPr>
    </w:p>
    <w:p w14:paraId="2D1300BF" w14:textId="41EFC93F" w:rsidR="004C74C9" w:rsidRPr="00227341" w:rsidRDefault="00227341" w:rsidP="00227341">
      <w:pPr>
        <w:tabs>
          <w:tab w:val="clear" w:pos="1134"/>
          <w:tab w:val="clear" w:pos="1871"/>
          <w:tab w:val="clear" w:pos="2268"/>
        </w:tabs>
        <w:overflowPunct/>
        <w:autoSpaceDE/>
        <w:autoSpaceDN/>
        <w:adjustRightInd/>
        <w:spacing w:before="0"/>
        <w:jc w:val="center"/>
        <w:textAlignment w:val="auto"/>
        <w:rPr>
          <w:lang w:val="fr-FR" w:eastAsia="zh-CN"/>
        </w:rPr>
      </w:pPr>
      <w:r>
        <w:rPr>
          <w:lang w:val="fr-FR" w:eastAsia="zh-CN"/>
        </w:rPr>
        <w:t>______________</w:t>
      </w:r>
    </w:p>
    <w:sectPr w:rsidR="004C74C9" w:rsidRPr="00227341" w:rsidSect="00DF51C3">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6E65" w14:textId="77777777" w:rsidR="0037483F" w:rsidRDefault="0037483F">
      <w:pPr>
        <w:spacing w:before="0"/>
      </w:pPr>
      <w:r>
        <w:separator/>
      </w:r>
    </w:p>
  </w:endnote>
  <w:endnote w:type="continuationSeparator" w:id="0">
    <w:p w14:paraId="0CF10117" w14:textId="77777777" w:rsidR="0037483F" w:rsidRDefault="003748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627D" w14:textId="77777777" w:rsidR="0037483F" w:rsidRDefault="0037483F">
      <w:pPr>
        <w:spacing w:before="0"/>
      </w:pPr>
      <w:r>
        <w:separator/>
      </w:r>
    </w:p>
  </w:footnote>
  <w:footnote w:type="continuationSeparator" w:id="0">
    <w:p w14:paraId="5748B922" w14:textId="77777777" w:rsidR="0037483F" w:rsidRDefault="003748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
  </w:num>
  <w:num w:numId="2" w16cid:durableId="18289329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2EC"/>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5E61"/>
    <w:rsid w:val="00076269"/>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2BB9"/>
    <w:rsid w:val="000C3D51"/>
    <w:rsid w:val="000C4DA3"/>
    <w:rsid w:val="000C65DF"/>
    <w:rsid w:val="000C75EE"/>
    <w:rsid w:val="000C7FD4"/>
    <w:rsid w:val="000D0093"/>
    <w:rsid w:val="000D6DA7"/>
    <w:rsid w:val="000E4002"/>
    <w:rsid w:val="000E6C65"/>
    <w:rsid w:val="000F022A"/>
    <w:rsid w:val="000F1E16"/>
    <w:rsid w:val="000F3742"/>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1B09"/>
    <w:rsid w:val="00192627"/>
    <w:rsid w:val="00196B53"/>
    <w:rsid w:val="001A3C90"/>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186B"/>
    <w:rsid w:val="0021495D"/>
    <w:rsid w:val="0021502B"/>
    <w:rsid w:val="0021550A"/>
    <w:rsid w:val="00216287"/>
    <w:rsid w:val="002162DB"/>
    <w:rsid w:val="00220766"/>
    <w:rsid w:val="0022086C"/>
    <w:rsid w:val="00223136"/>
    <w:rsid w:val="00227341"/>
    <w:rsid w:val="00234172"/>
    <w:rsid w:val="00235786"/>
    <w:rsid w:val="00236A43"/>
    <w:rsid w:val="002409D5"/>
    <w:rsid w:val="00244FEF"/>
    <w:rsid w:val="00254261"/>
    <w:rsid w:val="00255ED1"/>
    <w:rsid w:val="00256C38"/>
    <w:rsid w:val="00272245"/>
    <w:rsid w:val="00273D2C"/>
    <w:rsid w:val="00277903"/>
    <w:rsid w:val="00277E6A"/>
    <w:rsid w:val="00286AB4"/>
    <w:rsid w:val="00286D80"/>
    <w:rsid w:val="00286E48"/>
    <w:rsid w:val="0029309D"/>
    <w:rsid w:val="002A0A0D"/>
    <w:rsid w:val="002A1330"/>
    <w:rsid w:val="002A778E"/>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3F50"/>
    <w:rsid w:val="00324A59"/>
    <w:rsid w:val="00325E95"/>
    <w:rsid w:val="003265B8"/>
    <w:rsid w:val="00337B04"/>
    <w:rsid w:val="00341991"/>
    <w:rsid w:val="00341ADA"/>
    <w:rsid w:val="003457DF"/>
    <w:rsid w:val="00351D78"/>
    <w:rsid w:val="003529C0"/>
    <w:rsid w:val="00355F2D"/>
    <w:rsid w:val="00364DAD"/>
    <w:rsid w:val="0037379E"/>
    <w:rsid w:val="0037399D"/>
    <w:rsid w:val="0037483F"/>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2D6A"/>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A4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36818"/>
    <w:rsid w:val="0054219C"/>
    <w:rsid w:val="005421F6"/>
    <w:rsid w:val="00543598"/>
    <w:rsid w:val="00544305"/>
    <w:rsid w:val="00545D6D"/>
    <w:rsid w:val="0054603A"/>
    <w:rsid w:val="00547CAA"/>
    <w:rsid w:val="0055247E"/>
    <w:rsid w:val="0055693C"/>
    <w:rsid w:val="0056155A"/>
    <w:rsid w:val="00564498"/>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D61"/>
    <w:rsid w:val="005C5B74"/>
    <w:rsid w:val="005D7961"/>
    <w:rsid w:val="005E12A2"/>
    <w:rsid w:val="005E2BF1"/>
    <w:rsid w:val="005E2E64"/>
    <w:rsid w:val="005E667F"/>
    <w:rsid w:val="005F008A"/>
    <w:rsid w:val="005F3CA9"/>
    <w:rsid w:val="006005BF"/>
    <w:rsid w:val="00600964"/>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0FFF"/>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0BD7"/>
    <w:rsid w:val="00673E27"/>
    <w:rsid w:val="00685375"/>
    <w:rsid w:val="006873FD"/>
    <w:rsid w:val="0069375A"/>
    <w:rsid w:val="0069398C"/>
    <w:rsid w:val="00696704"/>
    <w:rsid w:val="00697647"/>
    <w:rsid w:val="006A091C"/>
    <w:rsid w:val="006A1C25"/>
    <w:rsid w:val="006A2038"/>
    <w:rsid w:val="006A41D4"/>
    <w:rsid w:val="006A7215"/>
    <w:rsid w:val="006B49A2"/>
    <w:rsid w:val="006B7DD5"/>
    <w:rsid w:val="006C05ED"/>
    <w:rsid w:val="006C463C"/>
    <w:rsid w:val="006C4847"/>
    <w:rsid w:val="006C60B9"/>
    <w:rsid w:val="006D4893"/>
    <w:rsid w:val="006D5EFE"/>
    <w:rsid w:val="006D73F8"/>
    <w:rsid w:val="006D7CA5"/>
    <w:rsid w:val="006E4EC6"/>
    <w:rsid w:val="006E4FF3"/>
    <w:rsid w:val="006F2A86"/>
    <w:rsid w:val="006F55DC"/>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C04"/>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65F1"/>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7437"/>
    <w:rsid w:val="0089044C"/>
    <w:rsid w:val="00893925"/>
    <w:rsid w:val="00895C2D"/>
    <w:rsid w:val="00896064"/>
    <w:rsid w:val="00896F13"/>
    <w:rsid w:val="008976DD"/>
    <w:rsid w:val="008A413C"/>
    <w:rsid w:val="008A41B1"/>
    <w:rsid w:val="008B658D"/>
    <w:rsid w:val="008B70BA"/>
    <w:rsid w:val="008B7348"/>
    <w:rsid w:val="008B7C41"/>
    <w:rsid w:val="008C0AD8"/>
    <w:rsid w:val="008C4E6E"/>
    <w:rsid w:val="008C5122"/>
    <w:rsid w:val="008C5DF8"/>
    <w:rsid w:val="008D3810"/>
    <w:rsid w:val="008D5C7D"/>
    <w:rsid w:val="008E189E"/>
    <w:rsid w:val="008F213E"/>
    <w:rsid w:val="008F2648"/>
    <w:rsid w:val="008F36D2"/>
    <w:rsid w:val="008F6D61"/>
    <w:rsid w:val="009013D3"/>
    <w:rsid w:val="00901C4D"/>
    <w:rsid w:val="00912199"/>
    <w:rsid w:val="00914CB4"/>
    <w:rsid w:val="00921514"/>
    <w:rsid w:val="00927B0A"/>
    <w:rsid w:val="00931E4F"/>
    <w:rsid w:val="009373FE"/>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5992"/>
    <w:rsid w:val="00A7673B"/>
    <w:rsid w:val="00A76D11"/>
    <w:rsid w:val="00A770B6"/>
    <w:rsid w:val="00A8545E"/>
    <w:rsid w:val="00A86200"/>
    <w:rsid w:val="00A931DA"/>
    <w:rsid w:val="00A93A91"/>
    <w:rsid w:val="00A94D3B"/>
    <w:rsid w:val="00AA004A"/>
    <w:rsid w:val="00AA666A"/>
    <w:rsid w:val="00AC4F04"/>
    <w:rsid w:val="00AD1D1A"/>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0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3A27"/>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5B16"/>
    <w:rsid w:val="00DE62B3"/>
    <w:rsid w:val="00DE7917"/>
    <w:rsid w:val="00DF0287"/>
    <w:rsid w:val="00DF0C14"/>
    <w:rsid w:val="00DF41B1"/>
    <w:rsid w:val="00DF51C3"/>
    <w:rsid w:val="00DF5A8D"/>
    <w:rsid w:val="00DF7F1E"/>
    <w:rsid w:val="00E023E5"/>
    <w:rsid w:val="00E05C0C"/>
    <w:rsid w:val="00E071B7"/>
    <w:rsid w:val="00E26674"/>
    <w:rsid w:val="00E27C39"/>
    <w:rsid w:val="00E31849"/>
    <w:rsid w:val="00E33E9F"/>
    <w:rsid w:val="00E34100"/>
    <w:rsid w:val="00E4145A"/>
    <w:rsid w:val="00E43C14"/>
    <w:rsid w:val="00E46322"/>
    <w:rsid w:val="00E5130D"/>
    <w:rsid w:val="00E54568"/>
    <w:rsid w:val="00E578A6"/>
    <w:rsid w:val="00E636E6"/>
    <w:rsid w:val="00E64215"/>
    <w:rsid w:val="00E66F16"/>
    <w:rsid w:val="00E74431"/>
    <w:rsid w:val="00E7525A"/>
    <w:rsid w:val="00E80399"/>
    <w:rsid w:val="00E82765"/>
    <w:rsid w:val="00E84D0F"/>
    <w:rsid w:val="00E85BCE"/>
    <w:rsid w:val="00E87C18"/>
    <w:rsid w:val="00E87FB3"/>
    <w:rsid w:val="00E90E43"/>
    <w:rsid w:val="00E91E7A"/>
    <w:rsid w:val="00E965EA"/>
    <w:rsid w:val="00E96821"/>
    <w:rsid w:val="00E97A1E"/>
    <w:rsid w:val="00EA1408"/>
    <w:rsid w:val="00EA1409"/>
    <w:rsid w:val="00EA1872"/>
    <w:rsid w:val="00EA77CA"/>
    <w:rsid w:val="00EB355D"/>
    <w:rsid w:val="00EB63C9"/>
    <w:rsid w:val="00EC2A2E"/>
    <w:rsid w:val="00EC63D7"/>
    <w:rsid w:val="00ED0532"/>
    <w:rsid w:val="00ED23B8"/>
    <w:rsid w:val="00ED270C"/>
    <w:rsid w:val="00ED634F"/>
    <w:rsid w:val="00EE0324"/>
    <w:rsid w:val="00EE0AC9"/>
    <w:rsid w:val="00EE10BB"/>
    <w:rsid w:val="00EE1954"/>
    <w:rsid w:val="00EE6FA5"/>
    <w:rsid w:val="00EF24F9"/>
    <w:rsid w:val="00EF62D1"/>
    <w:rsid w:val="00EF7702"/>
    <w:rsid w:val="00F125BF"/>
    <w:rsid w:val="00F16783"/>
    <w:rsid w:val="00F17B84"/>
    <w:rsid w:val="00F23AF1"/>
    <w:rsid w:val="00F26572"/>
    <w:rsid w:val="00F314EE"/>
    <w:rsid w:val="00F3430E"/>
    <w:rsid w:val="00F375CA"/>
    <w:rsid w:val="00F37DD1"/>
    <w:rsid w:val="00F40002"/>
    <w:rsid w:val="00F44EC9"/>
    <w:rsid w:val="00F46948"/>
    <w:rsid w:val="00F52791"/>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03ED"/>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aliases w:val="CEO_Hyperlink,超级链接,ECC Hyperlink,超?级链,Style 58,超????,하이퍼링크2,超链接1,超?级链?,Style?,S"/>
    <w:uiPriority w:val="99"/>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qFormat/>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E80399"/>
    <w:rPr>
      <w:color w:val="605E5C"/>
      <w:shd w:val="clear" w:color="auto" w:fill="E1DFDD"/>
    </w:rPr>
  </w:style>
  <w:style w:type="paragraph" w:customStyle="1" w:styleId="Summary">
    <w:name w:val="Summary"/>
    <w:basedOn w:val="Normal"/>
    <w:next w:val="Normalaftertitle"/>
    <w:rsid w:val="00630FFF"/>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5C-C-0152/e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dms_ties/itu-r/md/23/wp5c/c/R23-WP5C-C-0152!N01.03!MSW-E.docx" TargetMode="External"/><Relationship Id="rId2" Type="http://schemas.openxmlformats.org/officeDocument/2006/relationships/customXml" Target="../customXml/item2.xml"/><Relationship Id="rId16" Type="http://schemas.openxmlformats.org/officeDocument/2006/relationships/hyperlink" Target="https://www.itu.int/dms_ties/itu-r/md/23/wp5c/c/R23-WP5C-C-0152!N01.02!MSW-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C-C-0152/en" TargetMode="External"/><Relationship Id="rId5" Type="http://schemas.openxmlformats.org/officeDocument/2006/relationships/numbering" Target="numbering.xml"/><Relationship Id="rId15" Type="http://schemas.openxmlformats.org/officeDocument/2006/relationships/hyperlink" Target="https://www.itu.int/dms_ties/itu-r/md/23/wp5c/c/R23-WP5C-C-0152!N01.03!MSW-E.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ties/itu-r/md/23/wp5c/c/R23-WP5C-C-0152!N01.02!MSW-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Update WD</cp:keywords>
  <cp:lastModifiedBy>USA</cp:lastModifiedBy>
  <cp:revision>43</cp:revision>
  <dcterms:created xsi:type="dcterms:W3CDTF">2022-05-03T17:06:00Z</dcterms:created>
  <dcterms:modified xsi:type="dcterms:W3CDTF">2025-03-08T11:30:00Z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