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39E6D79B"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0017F0">
              <w:rPr>
                <w:lang w:val="pt-BR"/>
              </w:rPr>
              <w:t>34-06b</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21CE07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410CE0">
              <w:t>2/</w:t>
            </w:r>
            <w:r w:rsidR="00793A18">
              <w:t>8</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67EA2255" w:rsidR="000D6DA7" w:rsidRPr="00192FA7" w:rsidRDefault="000D6DA7" w:rsidP="0083037A">
            <w:pPr>
              <w:pStyle w:val="BodyTextIndent"/>
              <w:ind w:left="187"/>
              <w:rPr>
                <w:bCs/>
              </w:rPr>
            </w:pPr>
            <w:r w:rsidRPr="00192FA7">
              <w:rPr>
                <w:b/>
                <w:bCs/>
              </w:rPr>
              <w:t>Document Title:</w:t>
            </w:r>
            <w:r w:rsidR="00E81F3E">
              <w:rPr>
                <w:bCs/>
              </w:rPr>
              <w:t xml:space="preserve"> </w:t>
            </w:r>
            <w:r w:rsidR="000017F0">
              <w:rPr>
                <w:bCs/>
                <w:szCs w:val="24"/>
                <w:lang w:eastAsia="zh-CN"/>
              </w:rPr>
              <w:t xml:space="preserve">Additional Information on WAIC </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1A02844B" w:rsidR="0058660A" w:rsidRPr="00192FA7" w:rsidRDefault="000F4F73" w:rsidP="0058660A">
            <w:pPr>
              <w:spacing w:before="0"/>
              <w:ind w:left="144" w:right="144"/>
              <w:rPr>
                <w:bCs/>
                <w:iCs/>
              </w:rPr>
            </w:pPr>
            <w:r w:rsidRPr="00192FA7">
              <w:rPr>
                <w:bCs/>
                <w:iCs/>
              </w:rPr>
              <w:t>Michael Mullinix</w:t>
            </w:r>
          </w:p>
          <w:p w14:paraId="46D0DD62" w14:textId="0A4C9140" w:rsidR="000F4F73" w:rsidRPr="00192FA7" w:rsidRDefault="000F4F73" w:rsidP="0058660A">
            <w:pPr>
              <w:spacing w:before="0"/>
              <w:ind w:left="144" w:right="144"/>
              <w:rPr>
                <w:bCs/>
                <w:iCs/>
              </w:rPr>
            </w:pPr>
            <w:r w:rsidRPr="00192FA7">
              <w:rPr>
                <w:bCs/>
                <w:iCs/>
              </w:rPr>
              <w:t>CTIA</w:t>
            </w:r>
          </w:p>
          <w:p w14:paraId="4DF2E4B3" w14:textId="77777777" w:rsidR="0058660A" w:rsidRPr="00192FA7" w:rsidRDefault="0058660A" w:rsidP="0058660A">
            <w:pPr>
              <w:spacing w:before="0"/>
              <w:ind w:right="144"/>
              <w:rPr>
                <w:bCs/>
                <w:iCs/>
              </w:rPr>
            </w:pPr>
          </w:p>
          <w:p w14:paraId="00DFCE18" w14:textId="1CF925C7" w:rsidR="00A474D9" w:rsidRPr="00192FA7" w:rsidRDefault="00A474D9" w:rsidP="000F4F73">
            <w:pPr>
              <w:spacing w:before="0"/>
              <w:ind w:left="144" w:right="144"/>
              <w:rPr>
                <w:bCs/>
                <w:iCs/>
                <w:lang w:val="it-IT"/>
              </w:rPr>
            </w:pPr>
          </w:p>
        </w:tc>
        <w:tc>
          <w:tcPr>
            <w:tcW w:w="4950" w:type="dxa"/>
            <w:tcBorders>
              <w:right w:val="double" w:sz="6" w:space="0" w:color="auto"/>
            </w:tcBorders>
          </w:tcPr>
          <w:p w14:paraId="24F215C2" w14:textId="77777777" w:rsidR="000D6DA7" w:rsidRPr="00192FA7" w:rsidRDefault="000D6DA7" w:rsidP="004A512D">
            <w:pPr>
              <w:ind w:left="144" w:right="144"/>
              <w:rPr>
                <w:bCs/>
                <w:lang w:val="it-IT"/>
              </w:rPr>
            </w:pPr>
          </w:p>
          <w:p w14:paraId="2362246D" w14:textId="5D702C1C" w:rsidR="0058660A" w:rsidRPr="00192FA7" w:rsidRDefault="0058660A" w:rsidP="0058660A">
            <w:pPr>
              <w:spacing w:before="0"/>
              <w:ind w:left="144" w:right="144"/>
              <w:rPr>
                <w:bCs/>
                <w:lang w:val="fr-FR"/>
              </w:rPr>
            </w:pPr>
            <w:proofErr w:type="gramStart"/>
            <w:r w:rsidRPr="00192FA7">
              <w:rPr>
                <w:bCs/>
                <w:lang w:val="fr-FR"/>
              </w:rPr>
              <w:t>Phone:</w:t>
            </w:r>
            <w:proofErr w:type="gramEnd"/>
            <w:r w:rsidRPr="00192FA7">
              <w:rPr>
                <w:bCs/>
                <w:lang w:val="fr-FR"/>
              </w:rPr>
              <w:t xml:space="preserve"> </w:t>
            </w:r>
            <w:r w:rsidR="000F4F73" w:rsidRPr="00192FA7">
              <w:rPr>
                <w:bCs/>
                <w:lang w:val="fr-FR"/>
              </w:rPr>
              <w:t>301-639-7159</w:t>
            </w:r>
          </w:p>
          <w:p w14:paraId="071C3B80" w14:textId="073FBD22" w:rsidR="0058660A" w:rsidRPr="00192FA7" w:rsidRDefault="0058660A" w:rsidP="0058660A">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000F4F73" w:rsidRPr="00192FA7">
              <w:rPr>
                <w:bCs/>
                <w:color w:val="000000"/>
                <w:lang w:val="fr-FR"/>
              </w:rPr>
              <w:t>mmullinix@ctia.org</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03E051C2" w14:textId="77777777" w:rsidR="000F4F73" w:rsidRPr="00192FA7" w:rsidRDefault="000F4F73" w:rsidP="0058660A">
            <w:pPr>
              <w:spacing w:before="0"/>
              <w:ind w:right="144"/>
              <w:rPr>
                <w:bCs/>
                <w:lang w:val="fr-FR"/>
              </w:rPr>
            </w:pPr>
          </w:p>
          <w:p w14:paraId="4523B975" w14:textId="77777777" w:rsidR="0051744D" w:rsidRPr="00192FA7" w:rsidRDefault="0051744D" w:rsidP="0058660A">
            <w:pPr>
              <w:spacing w:before="0"/>
              <w:ind w:right="144"/>
              <w:rPr>
                <w:bCs/>
                <w:lang w:val="fr-FR"/>
              </w:rPr>
            </w:pPr>
          </w:p>
          <w:p w14:paraId="0E502D36" w14:textId="77777777" w:rsidR="00795449" w:rsidRPr="007B23C0" w:rsidRDefault="00795449" w:rsidP="0058660A">
            <w:pPr>
              <w:spacing w:before="0"/>
              <w:ind w:right="144"/>
              <w:rPr>
                <w:bCs/>
                <w:iCs/>
                <w:lang w:val="fr-FR"/>
              </w:rPr>
            </w:pPr>
          </w:p>
          <w:p w14:paraId="729EFE07" w14:textId="5726B37F" w:rsidR="004C757E" w:rsidRPr="00192FA7" w:rsidRDefault="00795449" w:rsidP="000F4F73">
            <w:pPr>
              <w:spacing w:before="0"/>
              <w:ind w:right="144"/>
              <w:rPr>
                <w:bCs/>
                <w:color w:val="000000"/>
                <w:lang w:val="fr-FR"/>
              </w:rPr>
            </w:pPr>
            <w:r w:rsidRPr="007B23C0">
              <w:rPr>
                <w:bCs/>
                <w:iCs/>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13D3E469"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 xml:space="preserve">esents </w:t>
            </w:r>
            <w:r w:rsidR="000017F0">
              <w:rPr>
                <w:bCs/>
              </w:rPr>
              <w:t>analysis on</w:t>
            </w:r>
            <w:bookmarkEnd w:id="0"/>
            <w:r w:rsidR="00E81F3E">
              <w:rPr>
                <w:bCs/>
              </w:rPr>
              <w:t xml:space="preserve"> WAIC operating in the 4.2-4.4 GHz band</w:t>
            </w:r>
            <w:r w:rsidR="000017F0">
              <w:rPr>
                <w:bCs/>
              </w:rPr>
              <w:t xml:space="preserve"> and a LS to ICAO</w:t>
            </w:r>
            <w:r w:rsidR="00E81F3E">
              <w:rPr>
                <w:bCs/>
              </w:rPr>
              <w:t>.</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614ED22E"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0017F0" w:rsidRPr="00192FA7">
              <w:rPr>
                <w:bCs/>
              </w:rPr>
              <w:t xml:space="preserve">This contribution </w:t>
            </w:r>
            <w:r w:rsidR="000017F0">
              <w:rPr>
                <w:bCs/>
              </w:rPr>
              <w:t>presents analysis on WAIC operating in the 4.2-4.4 GHz band and a LS to ICAO.</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proofErr w:type="spellStart"/>
            <w:proofErr w:type="gramStart"/>
            <w:r w:rsidRPr="001D6EFE">
              <w:rPr>
                <w:rFonts w:ascii="Verdana" w:hAnsi="Verdana"/>
                <w:sz w:val="20"/>
                <w:lang w:val="fr-FR"/>
              </w:rPr>
              <w:t>Subject</w:t>
            </w:r>
            <w:proofErr w:type="spellEnd"/>
            <w:r w:rsidRPr="001D6EFE">
              <w:rPr>
                <w:rFonts w:ascii="Verdana" w:hAnsi="Verdana"/>
                <w:sz w:val="20"/>
                <w:lang w:val="fr-FR"/>
              </w:rPr>
              <w:t>:</w:t>
            </w:r>
            <w:proofErr w:type="gramEnd"/>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1914E604" w:rsidR="007B23C0" w:rsidRDefault="00410CE0" w:rsidP="004A512D">
            <w:pPr>
              <w:pStyle w:val="Title1"/>
              <w:rPr>
                <w:lang w:eastAsia="zh-CN"/>
              </w:rPr>
            </w:pPr>
            <w:r>
              <w:t xml:space="preserve">Additional information </w:t>
            </w:r>
            <w:r w:rsidR="00BA4357">
              <w:t>on WAIC</w:t>
            </w:r>
          </w:p>
        </w:tc>
      </w:tr>
    </w:tbl>
    <w:p w14:paraId="0052CDF7" w14:textId="77777777" w:rsidR="00A474D9" w:rsidRDefault="00A474D9">
      <w:pPr>
        <w:rPr>
          <w:b/>
        </w:rPr>
      </w:pPr>
      <w:bookmarkStart w:id="8" w:name="dtitle1" w:colFirst="0" w:colLast="0"/>
      <w:bookmarkEnd w:id="7"/>
    </w:p>
    <w:p w14:paraId="6F14ACC6" w14:textId="45BE54C3" w:rsidR="00A474D9" w:rsidRDefault="00DA22B5">
      <w:pPr>
        <w:rPr>
          <w:b/>
        </w:rPr>
      </w:pPr>
      <w:r>
        <w:rPr>
          <w:b/>
        </w:rPr>
        <w:t>Summary</w:t>
      </w:r>
    </w:p>
    <w:p w14:paraId="662E80BF" w14:textId="360AB07B" w:rsidR="00A87FC5" w:rsidRPr="00BB10D8" w:rsidRDefault="0022375F" w:rsidP="00BB10D8">
      <w:pPr>
        <w:rPr>
          <w:bCs/>
        </w:rPr>
      </w:pPr>
      <w:r>
        <w:rPr>
          <w:bCs/>
        </w:rPr>
        <w:t>In this contribution, the United States</w:t>
      </w:r>
      <w:r w:rsidR="00BD1576">
        <w:rPr>
          <w:bCs/>
        </w:rPr>
        <w:t xml:space="preserve"> provides a technical analysis of the ICAO proposed WAIC requirement</w:t>
      </w:r>
      <w:r>
        <w:rPr>
          <w:bCs/>
        </w:rPr>
        <w:t>s.  A draft liaison statement to ICAO on the topic is proposed.</w:t>
      </w:r>
    </w:p>
    <w:p w14:paraId="45FD6E2D" w14:textId="2213A02E" w:rsidR="00BD1576" w:rsidRPr="00D53F6B" w:rsidRDefault="00BD1576" w:rsidP="00BD1576">
      <w:pPr>
        <w:rPr>
          <w:b/>
          <w:bCs/>
        </w:rPr>
      </w:pPr>
      <w:r w:rsidRPr="00D53F6B">
        <w:rPr>
          <w:b/>
          <w:bCs/>
        </w:rPr>
        <w:t xml:space="preserve">WAIC </w:t>
      </w:r>
      <w:r>
        <w:rPr>
          <w:b/>
          <w:bCs/>
        </w:rPr>
        <w:t>Te</w:t>
      </w:r>
      <w:r w:rsidR="00A87FC5">
        <w:rPr>
          <w:b/>
          <w:bCs/>
        </w:rPr>
        <w:t>c</w:t>
      </w:r>
      <w:r>
        <w:rPr>
          <w:b/>
          <w:bCs/>
        </w:rPr>
        <w:t xml:space="preserve">hnical </w:t>
      </w:r>
      <w:r w:rsidRPr="00D53F6B">
        <w:rPr>
          <w:b/>
          <w:bCs/>
        </w:rPr>
        <w:t>Analysis</w:t>
      </w:r>
    </w:p>
    <w:p w14:paraId="1ED6E14E" w14:textId="491E41EC" w:rsidR="00BD1576" w:rsidRPr="00BD1576" w:rsidRDefault="00BD1576" w:rsidP="00BD1576">
      <w:r>
        <w:t xml:space="preserve">The WAIC SARPS-derived other-band interference threshold of -120 dBm/MHz contains a technical error.  The SARPS assumed that external sources of interference are additive to the thermal noise level prior to accounting for the receiver’s own noise, as shown in Table </w:t>
      </w:r>
      <w:r w:rsidR="00420C41">
        <w:t>1</w:t>
      </w:r>
      <w:r>
        <w:t xml:space="preserve"> below.</w:t>
      </w:r>
    </w:p>
    <w:p w14:paraId="348E3199" w14:textId="77777777" w:rsidR="00BD1576" w:rsidRDefault="00BD1576" w:rsidP="00BD1576">
      <w:pPr>
        <w:jc w:val="center"/>
        <w:rPr>
          <w:b/>
          <w:bCs/>
        </w:rPr>
      </w:pPr>
    </w:p>
    <w:p w14:paraId="4E118044" w14:textId="4C4B0ED1" w:rsidR="00BD1576" w:rsidRPr="00D53F6B" w:rsidRDefault="00BD1576" w:rsidP="00BD1576">
      <w:pPr>
        <w:jc w:val="center"/>
        <w:rPr>
          <w:b/>
          <w:bCs/>
        </w:rPr>
      </w:pPr>
      <w:r w:rsidRPr="00D53F6B">
        <w:rPr>
          <w:b/>
          <w:bCs/>
        </w:rPr>
        <w:t xml:space="preserve">Table </w:t>
      </w:r>
      <w:r w:rsidR="00420C41">
        <w:rPr>
          <w:b/>
          <w:bCs/>
        </w:rPr>
        <w:t>1</w:t>
      </w:r>
      <w:r w:rsidRPr="00D53F6B">
        <w:rPr>
          <w:b/>
          <w:bCs/>
        </w:rPr>
        <w:t>: WAIC SARPS Incorrect Calculation of Permissible External Interference</w:t>
      </w:r>
    </w:p>
    <w:p w14:paraId="107287B3" w14:textId="77777777" w:rsidR="00BD1576" w:rsidRDefault="00BD1576" w:rsidP="00BD1576">
      <w:pPr>
        <w:jc w:val="center"/>
        <w:textAlignment w:val="auto"/>
        <w:rPr>
          <w:color w:val="000000"/>
        </w:rPr>
      </w:pPr>
      <w:r w:rsidRPr="00A1065D">
        <w:rPr>
          <w:noProof/>
        </w:rPr>
        <w:drawing>
          <wp:inline distT="0" distB="0" distL="0" distR="0" wp14:anchorId="2616A8A1" wp14:editId="4E4FE208">
            <wp:extent cx="4005409" cy="1002030"/>
            <wp:effectExtent l="0" t="0" r="0" b="7620"/>
            <wp:docPr id="9193992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r="22078"/>
                    <a:stretch/>
                  </pic:blipFill>
                  <pic:spPr bwMode="auto">
                    <a:xfrm>
                      <a:off x="0" y="0"/>
                      <a:ext cx="4031363" cy="1008523"/>
                    </a:xfrm>
                    <a:prstGeom prst="rect">
                      <a:avLst/>
                    </a:prstGeom>
                    <a:noFill/>
                    <a:ln>
                      <a:noFill/>
                    </a:ln>
                    <a:extLst>
                      <a:ext uri="{53640926-AAD7-44D8-BBD7-CCE9431645EC}">
                        <a14:shadowObscured xmlns:a14="http://schemas.microsoft.com/office/drawing/2010/main"/>
                      </a:ext>
                    </a:extLst>
                  </pic:spPr>
                </pic:pic>
              </a:graphicData>
            </a:graphic>
          </wp:inline>
        </w:drawing>
      </w:r>
    </w:p>
    <w:p w14:paraId="14CC8D16" w14:textId="5F7DF4DE" w:rsidR="00BD1576" w:rsidRDefault="00BD1576" w:rsidP="00BD1576">
      <w:pPr>
        <w:textAlignment w:val="auto"/>
        <w:rPr>
          <w:color w:val="000000"/>
        </w:rPr>
      </w:pPr>
      <w:r>
        <w:rPr>
          <w:color w:val="000000"/>
        </w:rPr>
        <w:t xml:space="preserve">The correct approach to incorporating an external interference level is to reference it at the detector, following the summation of the internal receiver noise, consisting of thermal noise plus the noise figure, resulting in -110 dBm/MHz as shown in Table </w:t>
      </w:r>
      <w:r w:rsidR="00420C41">
        <w:rPr>
          <w:color w:val="000000"/>
        </w:rPr>
        <w:t>2</w:t>
      </w:r>
      <w:r>
        <w:rPr>
          <w:color w:val="000000"/>
        </w:rPr>
        <w:t>.</w:t>
      </w:r>
    </w:p>
    <w:p w14:paraId="064D3B2B" w14:textId="5AB29529"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2</w:t>
      </w:r>
      <w:r w:rsidRPr="00D53F6B">
        <w:rPr>
          <w:b/>
          <w:bCs/>
          <w:color w:val="000000"/>
        </w:rPr>
        <w:t>: Correct Derivation of Permissible External Interference</w:t>
      </w:r>
    </w:p>
    <w:p w14:paraId="5BE3A09C" w14:textId="77777777" w:rsidR="00BD1576" w:rsidRDefault="00BD1576" w:rsidP="00BD1576">
      <w:pPr>
        <w:jc w:val="center"/>
        <w:textAlignment w:val="auto"/>
        <w:rPr>
          <w:color w:val="000000"/>
        </w:rPr>
      </w:pPr>
      <w:r w:rsidRPr="00A1065D">
        <w:rPr>
          <w:noProof/>
        </w:rPr>
        <w:drawing>
          <wp:inline distT="0" distB="0" distL="0" distR="0" wp14:anchorId="699F39ED" wp14:editId="1C7E1DF4">
            <wp:extent cx="3926872" cy="1163248"/>
            <wp:effectExtent l="0" t="0" r="0" b="0"/>
            <wp:docPr id="18585286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r="22671"/>
                    <a:stretch/>
                  </pic:blipFill>
                  <pic:spPr bwMode="auto">
                    <a:xfrm>
                      <a:off x="0" y="0"/>
                      <a:ext cx="3944459" cy="1168458"/>
                    </a:xfrm>
                    <a:prstGeom prst="rect">
                      <a:avLst/>
                    </a:prstGeom>
                    <a:noFill/>
                    <a:ln>
                      <a:noFill/>
                    </a:ln>
                    <a:extLst>
                      <a:ext uri="{53640926-AAD7-44D8-BBD7-CCE9431645EC}">
                        <a14:shadowObscured xmlns:a14="http://schemas.microsoft.com/office/drawing/2010/main"/>
                      </a:ext>
                    </a:extLst>
                  </pic:spPr>
                </pic:pic>
              </a:graphicData>
            </a:graphic>
          </wp:inline>
        </w:drawing>
      </w:r>
    </w:p>
    <w:p w14:paraId="46955F28" w14:textId="0E2681B1" w:rsidR="00BD1576" w:rsidRDefault="00BD1576" w:rsidP="00BD1576">
      <w:pPr>
        <w:textAlignment w:val="auto"/>
        <w:rPr>
          <w:color w:val="000000"/>
        </w:rPr>
      </w:pPr>
      <w:r>
        <w:rPr>
          <w:color w:val="000000"/>
        </w:rPr>
        <w:t xml:space="preserve">More importantly, the WAIC SARPS approach ignored the real-world environment of the 4200-4400 MHz band in which aviation systems with co-channel emissions exist and exert a distinct impact on the WAIC link budget.  Several scenarios are presented below to illustrate that even </w:t>
      </w:r>
      <w:r>
        <w:rPr>
          <w:color w:val="000000"/>
        </w:rPr>
        <w:lastRenderedPageBreak/>
        <w:t xml:space="preserve">Table </w:t>
      </w:r>
      <w:r w:rsidR="00420C41">
        <w:rPr>
          <w:color w:val="000000"/>
        </w:rPr>
        <w:t>2</w:t>
      </w:r>
      <w:r>
        <w:rPr>
          <w:color w:val="000000"/>
        </w:rPr>
        <w:t xml:space="preserve">’s corrected external interference threshold is far below the ambient noise environment.  The WAIC SARPS </w:t>
      </w:r>
      <w:r w:rsidR="00420C41">
        <w:rPr>
          <w:color w:val="000000"/>
        </w:rPr>
        <w:t xml:space="preserve">may need further consideration </w:t>
      </w:r>
      <w:r>
        <w:rPr>
          <w:color w:val="000000"/>
        </w:rPr>
        <w:t>to reflect the noisier operational environment, and correspondingly higher permissible external interference threshold.</w:t>
      </w:r>
    </w:p>
    <w:p w14:paraId="6B705D3E" w14:textId="77777777" w:rsidR="00BD1576" w:rsidRDefault="00BD1576" w:rsidP="00BD1576">
      <w:pPr>
        <w:textAlignment w:val="auto"/>
        <w:rPr>
          <w:color w:val="000000"/>
        </w:rPr>
      </w:pPr>
    </w:p>
    <w:p w14:paraId="50B5F9F3" w14:textId="77777777" w:rsidR="00BD1576" w:rsidRPr="00D53F6B" w:rsidRDefault="00BD1576" w:rsidP="00BD1576">
      <w:pPr>
        <w:textAlignment w:val="auto"/>
        <w:rPr>
          <w:b/>
          <w:bCs/>
          <w:i/>
          <w:iCs/>
          <w:color w:val="000000"/>
        </w:rPr>
      </w:pPr>
      <w:r w:rsidRPr="00D53F6B">
        <w:rPr>
          <w:b/>
          <w:bCs/>
          <w:i/>
          <w:iCs/>
          <w:color w:val="000000"/>
        </w:rPr>
        <w:t xml:space="preserve">Scenario 1: Landing Aircraft </w:t>
      </w:r>
      <w:r>
        <w:rPr>
          <w:b/>
          <w:bCs/>
          <w:i/>
          <w:iCs/>
          <w:color w:val="000000"/>
        </w:rPr>
        <w:t>RAs Interfering with</w:t>
      </w:r>
      <w:r w:rsidRPr="00D53F6B">
        <w:rPr>
          <w:b/>
          <w:bCs/>
          <w:i/>
          <w:iCs/>
          <w:color w:val="000000"/>
        </w:rPr>
        <w:t xml:space="preserve"> Taxiway WAIC </w:t>
      </w:r>
      <w:r>
        <w:rPr>
          <w:b/>
          <w:bCs/>
          <w:i/>
          <w:iCs/>
          <w:color w:val="000000"/>
        </w:rPr>
        <w:t>Receiver</w:t>
      </w:r>
    </w:p>
    <w:p w14:paraId="7042C4CD" w14:textId="77777777" w:rsidR="00BD1576" w:rsidRDefault="00BD1576" w:rsidP="00BD1576">
      <w:pPr>
        <w:textAlignment w:val="auto"/>
        <w:rPr>
          <w:color w:val="000000"/>
        </w:rPr>
      </w:pPr>
      <w:r>
        <w:rPr>
          <w:color w:val="000000"/>
        </w:rPr>
        <w:t>The first scenario assumes the landing aircraft scenario from the RTCA 2020 Report, Figure A-2, part c), reproduced below in Figure 1.</w:t>
      </w:r>
    </w:p>
    <w:p w14:paraId="4C84F165" w14:textId="77777777" w:rsidR="00BD1576" w:rsidRPr="00D53F6B" w:rsidRDefault="00BD1576" w:rsidP="00BD1576">
      <w:pPr>
        <w:jc w:val="center"/>
        <w:textAlignment w:val="auto"/>
        <w:rPr>
          <w:b/>
          <w:bCs/>
          <w:color w:val="000000"/>
        </w:rPr>
      </w:pPr>
      <w:r w:rsidRPr="00D53F6B">
        <w:rPr>
          <w:b/>
          <w:bCs/>
          <w:color w:val="000000"/>
        </w:rPr>
        <w:t xml:space="preserve">Figure 1: </w:t>
      </w:r>
      <w:r>
        <w:rPr>
          <w:b/>
          <w:bCs/>
          <w:color w:val="000000"/>
        </w:rPr>
        <w:t xml:space="preserve">RTCA 2020 Report </w:t>
      </w:r>
      <w:r w:rsidRPr="00D53F6B">
        <w:rPr>
          <w:b/>
          <w:bCs/>
          <w:color w:val="000000"/>
        </w:rPr>
        <w:t>Landing Scenario</w:t>
      </w:r>
    </w:p>
    <w:p w14:paraId="232D9260" w14:textId="77777777" w:rsidR="00BD1576" w:rsidRDefault="00BD1576" w:rsidP="00BD1576">
      <w:pPr>
        <w:jc w:val="center"/>
        <w:textAlignment w:val="auto"/>
        <w:rPr>
          <w:color w:val="000000"/>
        </w:rPr>
      </w:pPr>
      <w:r>
        <w:rPr>
          <w:noProof/>
        </w:rPr>
        <w:drawing>
          <wp:inline distT="0" distB="0" distL="0" distR="0" wp14:anchorId="2D4FDFDA" wp14:editId="1175CC90">
            <wp:extent cx="2929367" cy="1652587"/>
            <wp:effectExtent l="0" t="0" r="4445" b="5080"/>
            <wp:docPr id="2" name="Picture 1" descr="A screenshot of a computer&#10;&#10;Description automatically generated">
              <a:extLst xmlns:a="http://schemas.openxmlformats.org/drawingml/2006/main">
                <a:ext uri="{FF2B5EF4-FFF2-40B4-BE49-F238E27FC236}">
                  <a16:creationId xmlns:a16="http://schemas.microsoft.com/office/drawing/2014/main" id="{765B75D9-E807-BE80-86F2-FA42D10F9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Description automatically generated">
                      <a:extLst>
                        <a:ext uri="{FF2B5EF4-FFF2-40B4-BE49-F238E27FC236}">
                          <a16:creationId xmlns:a16="http://schemas.microsoft.com/office/drawing/2014/main" id="{765B75D9-E807-BE80-86F2-FA42D10F9410}"/>
                        </a:ext>
                      </a:extLst>
                    </pic:cNvPr>
                    <pic:cNvPicPr>
                      <a:picLocks noChangeAspect="1"/>
                    </pic:cNvPicPr>
                  </pic:nvPicPr>
                  <pic:blipFill rotWithShape="1">
                    <a:blip r:embed="rId14"/>
                    <a:srcRect l="45912" t="40683" r="28185" b="33338"/>
                    <a:stretch/>
                  </pic:blipFill>
                  <pic:spPr bwMode="auto">
                    <a:xfrm>
                      <a:off x="0" y="0"/>
                      <a:ext cx="2945595" cy="1661742"/>
                    </a:xfrm>
                    <a:prstGeom prst="rect">
                      <a:avLst/>
                    </a:prstGeom>
                    <a:ln>
                      <a:noFill/>
                    </a:ln>
                    <a:extLst>
                      <a:ext uri="{53640926-AAD7-44D8-BBD7-CCE9431645EC}">
                        <a14:shadowObscured xmlns:a14="http://schemas.microsoft.com/office/drawing/2010/main"/>
                      </a:ext>
                    </a:extLst>
                  </pic:spPr>
                </pic:pic>
              </a:graphicData>
            </a:graphic>
          </wp:inline>
        </w:drawing>
      </w:r>
    </w:p>
    <w:p w14:paraId="265528D2" w14:textId="654F44C4" w:rsidR="00BD1576" w:rsidRDefault="00BD1576" w:rsidP="00BD1576">
      <w:pPr>
        <w:textAlignment w:val="auto"/>
        <w:rPr>
          <w:color w:val="000000"/>
        </w:rPr>
      </w:pPr>
      <w:r>
        <w:rPr>
          <w:color w:val="000000"/>
        </w:rPr>
        <w:t xml:space="preserve">The landing aircraft’s RAs are transmitting during the landing approach.  A second aircraft, on the taxiway nearby, is operating WAIC co-channel as envisioned by M.2067.  The RA interference level at the WAIC receiver well exceeds the other-band interference threshold defined in the WAIC SARPS, as shown in Table </w:t>
      </w:r>
      <w:r w:rsidR="00420C41">
        <w:rPr>
          <w:color w:val="000000"/>
        </w:rPr>
        <w:t>3</w:t>
      </w:r>
      <w:r>
        <w:rPr>
          <w:color w:val="000000"/>
        </w:rPr>
        <w:t>.</w:t>
      </w:r>
    </w:p>
    <w:p w14:paraId="6DFA9445" w14:textId="77777777" w:rsidR="00BD1576" w:rsidRDefault="00BD1576" w:rsidP="00BD1576">
      <w:pPr>
        <w:textAlignment w:val="auto"/>
        <w:rPr>
          <w:color w:val="000000"/>
        </w:rPr>
      </w:pPr>
    </w:p>
    <w:p w14:paraId="4116FEDF" w14:textId="0F0E59D6"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3</w:t>
      </w:r>
      <w:r w:rsidRPr="00D53F6B">
        <w:rPr>
          <w:b/>
          <w:bCs/>
          <w:color w:val="000000"/>
        </w:rPr>
        <w:t>: Landing Aircraft RA Interfering with WAIC</w:t>
      </w:r>
    </w:p>
    <w:p w14:paraId="2A3C88C1" w14:textId="77777777" w:rsidR="00BD1576" w:rsidRDefault="00BD1576" w:rsidP="00BD1576">
      <w:pPr>
        <w:jc w:val="center"/>
        <w:textAlignment w:val="auto"/>
        <w:rPr>
          <w:color w:val="000000"/>
        </w:rPr>
      </w:pPr>
      <w:r w:rsidRPr="005157E2">
        <w:rPr>
          <w:noProof/>
        </w:rPr>
        <w:drawing>
          <wp:inline distT="0" distB="0" distL="0" distR="0" wp14:anchorId="24112819" wp14:editId="413BFFF4">
            <wp:extent cx="6120765" cy="1808480"/>
            <wp:effectExtent l="0" t="0" r="0" b="1270"/>
            <wp:docPr id="154862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808480"/>
                    </a:xfrm>
                    <a:prstGeom prst="rect">
                      <a:avLst/>
                    </a:prstGeom>
                    <a:noFill/>
                    <a:ln>
                      <a:noFill/>
                    </a:ln>
                  </pic:spPr>
                </pic:pic>
              </a:graphicData>
            </a:graphic>
          </wp:inline>
        </w:drawing>
      </w:r>
    </w:p>
    <w:p w14:paraId="6F57227C" w14:textId="77777777" w:rsidR="00BD1576" w:rsidRDefault="00BD1576" w:rsidP="00BD1576">
      <w:pPr>
        <w:textAlignment w:val="auto"/>
        <w:rPr>
          <w:color w:val="000000"/>
        </w:rPr>
      </w:pPr>
      <w:r>
        <w:rPr>
          <w:color w:val="000000"/>
        </w:rPr>
        <w:t xml:space="preserve">In this scenario from the RTCA 2020 Report, the ambient RF environment exceeds the WAIC SARPS by 45 </w:t>
      </w:r>
      <w:proofErr w:type="spellStart"/>
      <w:r>
        <w:rPr>
          <w:color w:val="000000"/>
        </w:rPr>
        <w:t>dB.</w:t>
      </w:r>
      <w:proofErr w:type="spellEnd"/>
      <w:r>
        <w:rPr>
          <w:color w:val="000000"/>
        </w:rPr>
        <w:t xml:space="preserve">  </w:t>
      </w:r>
    </w:p>
    <w:p w14:paraId="7CD2EF19" w14:textId="2C56F622" w:rsidR="00BD1576" w:rsidRDefault="00BD1576" w:rsidP="00BD1576">
      <w:pPr>
        <w:textAlignment w:val="auto"/>
        <w:rPr>
          <w:color w:val="000000"/>
        </w:rPr>
      </w:pPr>
      <w:r>
        <w:rPr>
          <w:color w:val="000000"/>
        </w:rPr>
        <w:t xml:space="preserve">The RAs on the landing aircraft greatly increase the WAIC ambient noise level to such a degree that any WAIC receivers located outside of the aircraft will not work, as shown in Table </w:t>
      </w:r>
      <w:r w:rsidR="00420C41">
        <w:rPr>
          <w:color w:val="000000"/>
        </w:rPr>
        <w:t>4</w:t>
      </w:r>
      <w:r>
        <w:rPr>
          <w:color w:val="000000"/>
        </w:rPr>
        <w:t>.  The WAIC receiver requires a desired signal to be 41.6 dB stronger to be detected in this environment.</w:t>
      </w:r>
    </w:p>
    <w:p w14:paraId="432B7C41" w14:textId="77777777" w:rsidR="00BD1576" w:rsidRDefault="00BD1576" w:rsidP="00BD1576">
      <w:pPr>
        <w:textAlignment w:val="auto"/>
        <w:rPr>
          <w:color w:val="000000"/>
        </w:rPr>
      </w:pPr>
    </w:p>
    <w:p w14:paraId="116620FE" w14:textId="77777777" w:rsidR="00F0687C" w:rsidRDefault="00F0687C" w:rsidP="00BD1576">
      <w:pPr>
        <w:textAlignment w:val="auto"/>
        <w:rPr>
          <w:color w:val="000000"/>
        </w:rPr>
      </w:pPr>
    </w:p>
    <w:p w14:paraId="77E225CF" w14:textId="77777777" w:rsidR="00F0687C" w:rsidRDefault="00F0687C" w:rsidP="00BD1576">
      <w:pPr>
        <w:textAlignment w:val="auto"/>
        <w:rPr>
          <w:color w:val="000000"/>
        </w:rPr>
      </w:pPr>
    </w:p>
    <w:p w14:paraId="35338E18" w14:textId="77777777" w:rsidR="00F0687C" w:rsidRDefault="00F0687C" w:rsidP="00BD1576">
      <w:pPr>
        <w:textAlignment w:val="auto"/>
        <w:rPr>
          <w:color w:val="000000"/>
        </w:rPr>
      </w:pPr>
    </w:p>
    <w:p w14:paraId="2849C845" w14:textId="77777777" w:rsidR="00F0687C" w:rsidRDefault="00F0687C" w:rsidP="00BD1576">
      <w:pPr>
        <w:textAlignment w:val="auto"/>
        <w:rPr>
          <w:color w:val="000000"/>
        </w:rPr>
      </w:pPr>
    </w:p>
    <w:p w14:paraId="764AB249" w14:textId="60F7D598"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4</w:t>
      </w:r>
      <w:r w:rsidRPr="00D53F6B">
        <w:rPr>
          <w:b/>
          <w:bCs/>
          <w:color w:val="000000"/>
        </w:rPr>
        <w:t>: Landing Aircraft RA Interfer</w:t>
      </w:r>
      <w:r>
        <w:rPr>
          <w:b/>
          <w:bCs/>
          <w:color w:val="000000"/>
        </w:rPr>
        <w:t>ence Precludes</w:t>
      </w:r>
      <w:r w:rsidRPr="00D53F6B">
        <w:rPr>
          <w:b/>
          <w:bCs/>
          <w:color w:val="000000"/>
        </w:rPr>
        <w:t xml:space="preserve"> WAIC</w:t>
      </w:r>
      <w:r>
        <w:rPr>
          <w:b/>
          <w:bCs/>
          <w:color w:val="000000"/>
        </w:rPr>
        <w:t xml:space="preserve"> Service Outside the Aircraft</w:t>
      </w:r>
    </w:p>
    <w:p w14:paraId="2AA69135" w14:textId="77777777" w:rsidR="00BD1576" w:rsidRDefault="00BD1576" w:rsidP="00BD1576">
      <w:pPr>
        <w:jc w:val="center"/>
        <w:textAlignment w:val="auto"/>
        <w:rPr>
          <w:color w:val="000000"/>
        </w:rPr>
      </w:pPr>
      <w:r w:rsidRPr="00274ACA">
        <w:rPr>
          <w:noProof/>
        </w:rPr>
        <w:drawing>
          <wp:inline distT="0" distB="0" distL="0" distR="0" wp14:anchorId="35D7084F" wp14:editId="1566A248">
            <wp:extent cx="6120765" cy="2985135"/>
            <wp:effectExtent l="0" t="0" r="0" b="5715"/>
            <wp:docPr id="533532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985135"/>
                    </a:xfrm>
                    <a:prstGeom prst="rect">
                      <a:avLst/>
                    </a:prstGeom>
                    <a:noFill/>
                    <a:ln>
                      <a:noFill/>
                    </a:ln>
                  </pic:spPr>
                </pic:pic>
              </a:graphicData>
            </a:graphic>
          </wp:inline>
        </w:drawing>
      </w:r>
    </w:p>
    <w:p w14:paraId="531D6D4D" w14:textId="77777777" w:rsidR="00BD1576" w:rsidRDefault="00BD1576" w:rsidP="00BD1576">
      <w:pPr>
        <w:textAlignment w:val="auto"/>
        <w:rPr>
          <w:color w:val="000000"/>
        </w:rPr>
      </w:pPr>
    </w:p>
    <w:p w14:paraId="2AF71504" w14:textId="77777777" w:rsidR="00BD1576" w:rsidRPr="00E94324" w:rsidRDefault="00BD1576" w:rsidP="00BD1576">
      <w:pPr>
        <w:textAlignment w:val="auto"/>
        <w:rPr>
          <w:b/>
          <w:bCs/>
          <w:i/>
          <w:iCs/>
          <w:color w:val="000000"/>
        </w:rPr>
      </w:pPr>
      <w:r w:rsidRPr="00E94324">
        <w:rPr>
          <w:b/>
          <w:bCs/>
          <w:i/>
          <w:iCs/>
          <w:color w:val="000000"/>
        </w:rPr>
        <w:t xml:space="preserve">Scenario </w:t>
      </w:r>
      <w:r>
        <w:rPr>
          <w:b/>
          <w:bCs/>
          <w:i/>
          <w:iCs/>
          <w:color w:val="000000"/>
        </w:rPr>
        <w:t>2</w:t>
      </w:r>
      <w:r w:rsidRPr="00E94324">
        <w:rPr>
          <w:b/>
          <w:bCs/>
          <w:i/>
          <w:iCs/>
          <w:color w:val="000000"/>
        </w:rPr>
        <w:t xml:space="preserve">: </w:t>
      </w:r>
      <w:r>
        <w:rPr>
          <w:b/>
          <w:bCs/>
          <w:i/>
          <w:iCs/>
          <w:color w:val="000000"/>
        </w:rPr>
        <w:t>Overflight – RA to WAIC Interference</w:t>
      </w:r>
    </w:p>
    <w:p w14:paraId="63EDFF76" w14:textId="6054A2DB" w:rsidR="00BD1576" w:rsidRDefault="00BD1576" w:rsidP="00BD1576">
      <w:pPr>
        <w:textAlignment w:val="auto"/>
        <w:rPr>
          <w:color w:val="000000"/>
        </w:rPr>
      </w:pPr>
      <w:r>
        <w:rPr>
          <w:color w:val="000000"/>
        </w:rPr>
        <w:t>The second scenario assumes one aircraft with three RAs is flying 1,000 feet above a second aircraft, on a different heading, equipped with WAIC.</w:t>
      </w:r>
      <w:r>
        <w:rPr>
          <w:rStyle w:val="FootnoteReference"/>
          <w:color w:val="000000"/>
        </w:rPr>
        <w:footnoteReference w:id="2"/>
      </w:r>
      <w:r>
        <w:rPr>
          <w:color w:val="000000"/>
        </w:rPr>
        <w:t xml:space="preserve">  The resulting RA signal levels at the WAIC receiver are calculated in Table </w:t>
      </w:r>
      <w:r w:rsidR="00420C41">
        <w:rPr>
          <w:color w:val="000000"/>
        </w:rPr>
        <w:t>5</w:t>
      </w:r>
      <w:r>
        <w:rPr>
          <w:color w:val="000000"/>
        </w:rPr>
        <w:t>.</w:t>
      </w:r>
    </w:p>
    <w:p w14:paraId="3C6E36DF" w14:textId="03D174F3"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5</w:t>
      </w:r>
      <w:r w:rsidRPr="00D53F6B">
        <w:rPr>
          <w:b/>
          <w:bCs/>
          <w:color w:val="000000"/>
        </w:rPr>
        <w:t>: RA Interference to WAIC In Flight</w:t>
      </w:r>
      <w:r>
        <w:rPr>
          <w:b/>
          <w:bCs/>
          <w:color w:val="000000"/>
        </w:rPr>
        <w:t>: 1,000 ft</w:t>
      </w:r>
    </w:p>
    <w:p w14:paraId="6B3BDD27" w14:textId="77777777" w:rsidR="00BD1576" w:rsidRDefault="00BD1576" w:rsidP="00BD1576">
      <w:pPr>
        <w:jc w:val="center"/>
        <w:textAlignment w:val="auto"/>
        <w:rPr>
          <w:color w:val="000000"/>
        </w:rPr>
      </w:pPr>
      <w:r w:rsidRPr="00033C12">
        <w:rPr>
          <w:noProof/>
        </w:rPr>
        <w:drawing>
          <wp:inline distT="0" distB="0" distL="0" distR="0" wp14:anchorId="1D6C66FF" wp14:editId="62B7F903">
            <wp:extent cx="5827063" cy="1889760"/>
            <wp:effectExtent l="0" t="0" r="2540" b="0"/>
            <wp:docPr id="278433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7430" cy="1893122"/>
                    </a:xfrm>
                    <a:prstGeom prst="rect">
                      <a:avLst/>
                    </a:prstGeom>
                    <a:noFill/>
                    <a:ln>
                      <a:noFill/>
                    </a:ln>
                  </pic:spPr>
                </pic:pic>
              </a:graphicData>
            </a:graphic>
          </wp:inline>
        </w:drawing>
      </w:r>
    </w:p>
    <w:p w14:paraId="72A020B1" w14:textId="77777777" w:rsidR="00BD1576" w:rsidRDefault="00BD1576" w:rsidP="00BD1576">
      <w:pPr>
        <w:textAlignment w:val="auto"/>
        <w:rPr>
          <w:color w:val="000000"/>
        </w:rPr>
      </w:pPr>
      <w:r>
        <w:rPr>
          <w:color w:val="000000"/>
        </w:rPr>
        <w:t xml:space="preserve">An RA-equipped aircraft passing 1,000 ft above an aircraft operating WAIC would exceed the other-band interference threshold proposed in the WAIC SARPS by 44 </w:t>
      </w:r>
      <w:proofErr w:type="spellStart"/>
      <w:r>
        <w:rPr>
          <w:color w:val="000000"/>
        </w:rPr>
        <w:t>dB.</w:t>
      </w:r>
      <w:proofErr w:type="spellEnd"/>
    </w:p>
    <w:p w14:paraId="04132C5A" w14:textId="677EBE34" w:rsidR="00BD1576" w:rsidRPr="00BD1576" w:rsidRDefault="00BD1576" w:rsidP="00BD1576">
      <w:pPr>
        <w:textAlignment w:val="auto"/>
        <w:rPr>
          <w:color w:val="000000"/>
        </w:rPr>
      </w:pPr>
      <w:r>
        <w:rPr>
          <w:color w:val="000000"/>
        </w:rPr>
        <w:t xml:space="preserve">Another example of overflight involves two aircraft traveling in the same direction, with a vertical separation of 2,000 ft.  Table </w:t>
      </w:r>
      <w:r w:rsidR="00420C41">
        <w:rPr>
          <w:color w:val="000000"/>
        </w:rPr>
        <w:t>6</w:t>
      </w:r>
      <w:r>
        <w:rPr>
          <w:color w:val="000000"/>
        </w:rPr>
        <w:t xml:space="preserve"> shows that the WAIC exceedance is 38 </w:t>
      </w:r>
      <w:proofErr w:type="spellStart"/>
      <w:r>
        <w:rPr>
          <w:color w:val="000000"/>
        </w:rPr>
        <w:t>dB.</w:t>
      </w:r>
      <w:proofErr w:type="spellEnd"/>
    </w:p>
    <w:p w14:paraId="33978D61" w14:textId="77777777" w:rsidR="00F0687C" w:rsidRDefault="00F0687C" w:rsidP="00BD1576">
      <w:pPr>
        <w:jc w:val="center"/>
        <w:textAlignment w:val="auto"/>
        <w:rPr>
          <w:b/>
          <w:bCs/>
          <w:color w:val="000000"/>
        </w:rPr>
      </w:pPr>
    </w:p>
    <w:p w14:paraId="1D5296DD" w14:textId="77777777" w:rsidR="00F0687C" w:rsidRDefault="00F0687C" w:rsidP="00BD1576">
      <w:pPr>
        <w:jc w:val="center"/>
        <w:textAlignment w:val="auto"/>
        <w:rPr>
          <w:b/>
          <w:bCs/>
          <w:color w:val="000000"/>
        </w:rPr>
      </w:pPr>
    </w:p>
    <w:p w14:paraId="6E992A85" w14:textId="2A64B6A4"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6</w:t>
      </w:r>
      <w:r w:rsidRPr="00D53F6B">
        <w:rPr>
          <w:b/>
          <w:bCs/>
          <w:color w:val="000000"/>
        </w:rPr>
        <w:t>: RA Interference to WAIC In Flight</w:t>
      </w:r>
      <w:r>
        <w:rPr>
          <w:b/>
          <w:bCs/>
          <w:color w:val="000000"/>
        </w:rPr>
        <w:t>: 2,000 ft</w:t>
      </w:r>
    </w:p>
    <w:p w14:paraId="05012881" w14:textId="77777777" w:rsidR="00BD1576" w:rsidRDefault="00BD1576" w:rsidP="00BD1576">
      <w:pPr>
        <w:jc w:val="center"/>
        <w:textAlignment w:val="auto"/>
        <w:rPr>
          <w:color w:val="000000"/>
        </w:rPr>
      </w:pPr>
      <w:r w:rsidRPr="00033C12">
        <w:rPr>
          <w:noProof/>
        </w:rPr>
        <w:drawing>
          <wp:inline distT="0" distB="0" distL="0" distR="0" wp14:anchorId="46D8C0A8" wp14:editId="0463BB56">
            <wp:extent cx="5827062" cy="1889760"/>
            <wp:effectExtent l="0" t="0" r="2540" b="0"/>
            <wp:docPr id="1692423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713" cy="1897430"/>
                    </a:xfrm>
                    <a:prstGeom prst="rect">
                      <a:avLst/>
                    </a:prstGeom>
                    <a:noFill/>
                    <a:ln>
                      <a:noFill/>
                    </a:ln>
                  </pic:spPr>
                </pic:pic>
              </a:graphicData>
            </a:graphic>
          </wp:inline>
        </w:drawing>
      </w:r>
    </w:p>
    <w:p w14:paraId="187B9DD4" w14:textId="5B0C6398" w:rsidR="00BD1576" w:rsidRDefault="00BD1576" w:rsidP="00BD1576">
      <w:pPr>
        <w:textAlignment w:val="auto"/>
        <w:rPr>
          <w:color w:val="000000"/>
        </w:rPr>
      </w:pPr>
      <w:r>
        <w:rPr>
          <w:color w:val="000000"/>
        </w:rPr>
        <w:t xml:space="preserve">In both overflight scenarios, the RA interference is large enough to preclude WAIC operation outside of the aircraft.  The link budget for the 2,000 ft separation distances is shown in Table </w:t>
      </w:r>
      <w:r w:rsidR="00420C41">
        <w:rPr>
          <w:color w:val="000000"/>
        </w:rPr>
        <w:t>7</w:t>
      </w:r>
      <w:r>
        <w:rPr>
          <w:color w:val="000000"/>
        </w:rPr>
        <w:t>.</w:t>
      </w:r>
    </w:p>
    <w:p w14:paraId="596293FF" w14:textId="71AF3B85"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7</w:t>
      </w:r>
      <w:r w:rsidRPr="00D53F6B">
        <w:rPr>
          <w:b/>
          <w:bCs/>
          <w:color w:val="000000"/>
        </w:rPr>
        <w:t xml:space="preserve">: </w:t>
      </w:r>
      <w:r>
        <w:rPr>
          <w:b/>
          <w:bCs/>
          <w:color w:val="000000"/>
        </w:rPr>
        <w:t xml:space="preserve">RA Overflight Interference Precludes WAIC Service Outside the Aircraft </w:t>
      </w:r>
    </w:p>
    <w:p w14:paraId="35D49081" w14:textId="77777777" w:rsidR="00BD1576" w:rsidRDefault="00BD1576" w:rsidP="00BD1576">
      <w:pPr>
        <w:jc w:val="center"/>
        <w:textAlignment w:val="auto"/>
        <w:rPr>
          <w:color w:val="000000"/>
        </w:rPr>
      </w:pPr>
      <w:r w:rsidRPr="00274ACA">
        <w:rPr>
          <w:noProof/>
        </w:rPr>
        <w:drawing>
          <wp:inline distT="0" distB="0" distL="0" distR="0" wp14:anchorId="01167E9B" wp14:editId="5703A1CD">
            <wp:extent cx="5958840" cy="2906163"/>
            <wp:effectExtent l="0" t="0" r="3810" b="8890"/>
            <wp:docPr id="1570161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3374" cy="2908374"/>
                    </a:xfrm>
                    <a:prstGeom prst="rect">
                      <a:avLst/>
                    </a:prstGeom>
                    <a:noFill/>
                    <a:ln>
                      <a:noFill/>
                    </a:ln>
                  </pic:spPr>
                </pic:pic>
              </a:graphicData>
            </a:graphic>
          </wp:inline>
        </w:drawing>
      </w:r>
    </w:p>
    <w:p w14:paraId="36B869CC" w14:textId="77777777" w:rsidR="00BD1576" w:rsidRDefault="00BD1576" w:rsidP="00BD1576">
      <w:pPr>
        <w:textAlignment w:val="auto"/>
        <w:rPr>
          <w:color w:val="000000"/>
        </w:rPr>
      </w:pPr>
    </w:p>
    <w:p w14:paraId="5BBF9525" w14:textId="77777777" w:rsidR="00BD1576" w:rsidRPr="00D53F6B" w:rsidRDefault="00BD1576" w:rsidP="00BD1576">
      <w:pPr>
        <w:textAlignment w:val="auto"/>
        <w:rPr>
          <w:b/>
          <w:bCs/>
          <w:color w:val="000000"/>
        </w:rPr>
      </w:pPr>
      <w:r w:rsidRPr="00D53F6B">
        <w:rPr>
          <w:b/>
          <w:bCs/>
          <w:color w:val="000000"/>
        </w:rPr>
        <w:t>WAIC Conclusions</w:t>
      </w:r>
    </w:p>
    <w:p w14:paraId="5FC984B5" w14:textId="71686AE1" w:rsidR="00BD1576" w:rsidRDefault="00BD1576" w:rsidP="00BD1576">
      <w:pPr>
        <w:textAlignment w:val="auto"/>
        <w:rPr>
          <w:color w:val="000000"/>
        </w:rPr>
      </w:pPr>
      <w:r>
        <w:rPr>
          <w:color w:val="000000"/>
        </w:rPr>
        <w:t xml:space="preserve">As the new WAIC systems are being proposed to operate co-channel with radio altimeters, the WAIC SARPS external interference threshold of -120 dBm/MHz </w:t>
      </w:r>
      <w:r w:rsidR="00420C41">
        <w:rPr>
          <w:color w:val="000000"/>
        </w:rPr>
        <w:t>may need to</w:t>
      </w:r>
      <w:r>
        <w:rPr>
          <w:color w:val="000000"/>
        </w:rPr>
        <w:t xml:space="preserve"> be re-evaluated (or revised upward significantly), given the high levels of interference from other co-channel aviation services.  </w:t>
      </w:r>
    </w:p>
    <w:p w14:paraId="50F4EC8B" w14:textId="77777777" w:rsidR="00BD1576" w:rsidRDefault="00BD1576" w:rsidP="00BD1576">
      <w:pPr>
        <w:textAlignment w:val="auto"/>
        <w:rPr>
          <w:color w:val="000000"/>
        </w:rPr>
      </w:pPr>
    </w:p>
    <w:p w14:paraId="5F2373B3" w14:textId="77777777" w:rsidR="00BD1576" w:rsidRDefault="00BD1576" w:rsidP="00BD1576">
      <w:pPr>
        <w:textAlignment w:val="auto"/>
        <w:rPr>
          <w:color w:val="000000"/>
        </w:rPr>
      </w:pPr>
    </w:p>
    <w:p w14:paraId="6E1A86BF" w14:textId="77777777" w:rsidR="00BD1576" w:rsidRDefault="00BD1576" w:rsidP="00BD1576">
      <w:pPr>
        <w:jc w:val="center"/>
        <w:textAlignment w:val="auto"/>
        <w:rPr>
          <w:color w:val="000000"/>
        </w:rPr>
      </w:pPr>
    </w:p>
    <w:p w14:paraId="0AB03CBC" w14:textId="77777777" w:rsidR="00BD1576" w:rsidRDefault="00BD1576" w:rsidP="00BD1576">
      <w:pPr>
        <w:textAlignment w:val="auto"/>
        <w:rPr>
          <w:color w:val="000000"/>
        </w:rPr>
      </w:pPr>
    </w:p>
    <w:p w14:paraId="2FCEA20F" w14:textId="01FAC3E9" w:rsidR="00783B1D" w:rsidRPr="00BD1576" w:rsidRDefault="00783B1D" w:rsidP="00BD1576">
      <w:pPr>
        <w:rPr>
          <w:bCs/>
        </w:rPr>
      </w:pPr>
    </w:p>
    <w:p w14:paraId="5F8D7B2F" w14:textId="77777777" w:rsidR="00783B1D" w:rsidRDefault="00783B1D" w:rsidP="00783B1D"/>
    <w:p w14:paraId="7BF85D69" w14:textId="77777777" w:rsidR="00783B1D" w:rsidRDefault="00783B1D" w:rsidP="00783B1D">
      <w:pPr>
        <w:pStyle w:val="Title4"/>
      </w:pPr>
      <w:r>
        <w:lastRenderedPageBreak/>
        <w:t>Attachment</w:t>
      </w:r>
    </w:p>
    <w:bookmarkEnd w:id="8"/>
    <w:p w14:paraId="4072B4D9" w14:textId="77777777" w:rsidR="007B23C0" w:rsidRDefault="007B23C0" w:rsidP="007B23C0">
      <w:pPr>
        <w:tabs>
          <w:tab w:val="clear" w:pos="1134"/>
          <w:tab w:val="clear" w:pos="1871"/>
          <w:tab w:val="clear" w:pos="2268"/>
        </w:tabs>
        <w:overflowPunct/>
        <w:autoSpaceDE/>
        <w:autoSpaceDN/>
        <w:adjustRightInd/>
        <w:spacing w:before="0"/>
        <w:textAlignment w:val="auto"/>
        <w:rPr>
          <w:rFonts w:eastAsia="Calibri"/>
          <w:caps/>
          <w:sz w:val="28"/>
        </w:rPr>
      </w:pPr>
    </w:p>
    <w:tbl>
      <w:tblPr>
        <w:tblpPr w:leftFromText="180" w:rightFromText="180" w:vertAnchor="page" w:horzAnchor="margin" w:tblpY="2101"/>
        <w:tblW w:w="9885" w:type="dxa"/>
        <w:tblLayout w:type="fixed"/>
        <w:tblLook w:val="04A0" w:firstRow="1" w:lastRow="0" w:firstColumn="1" w:lastColumn="0" w:noHBand="0" w:noVBand="1"/>
      </w:tblPr>
      <w:tblGrid>
        <w:gridCol w:w="9885"/>
      </w:tblGrid>
      <w:tr w:rsidR="00F33736" w:rsidRPr="00F33736" w14:paraId="117F22AC" w14:textId="77777777" w:rsidTr="00420C41">
        <w:trPr>
          <w:cantSplit/>
        </w:trPr>
        <w:tc>
          <w:tcPr>
            <w:tcW w:w="9885" w:type="dxa"/>
            <w:hideMark/>
          </w:tcPr>
          <w:p w14:paraId="08E698C3" w14:textId="3F3862EA" w:rsidR="00F33736" w:rsidRPr="00F33736" w:rsidRDefault="00193C9B" w:rsidP="00420C41">
            <w:pPr>
              <w:tabs>
                <w:tab w:val="left" w:pos="567"/>
                <w:tab w:val="left" w:pos="1701"/>
                <w:tab w:val="left" w:pos="2835"/>
              </w:tabs>
              <w:spacing w:before="240"/>
              <w:jc w:val="center"/>
              <w:textAlignment w:val="auto"/>
              <w:rPr>
                <w:caps/>
                <w:sz w:val="28"/>
                <w:lang w:eastAsia="zh-CN"/>
              </w:rPr>
            </w:pPr>
            <w:bookmarkStart w:id="9" w:name="_Hlk167777030"/>
            <w:r>
              <w:rPr>
                <w:sz w:val="28"/>
                <w:lang w:eastAsia="zh-CN"/>
              </w:rPr>
              <w:t xml:space="preserve">DRAFT LIAISON </w:t>
            </w:r>
            <w:r w:rsidR="00F33736" w:rsidRPr="00F33736">
              <w:rPr>
                <w:sz w:val="28"/>
                <w:lang w:eastAsia="zh-CN"/>
              </w:rPr>
              <w:t xml:space="preserve">STATEMENT TO </w:t>
            </w:r>
            <w:r>
              <w:rPr>
                <w:sz w:val="28"/>
                <w:lang w:eastAsia="zh-CN"/>
              </w:rPr>
              <w:t>ICAO</w:t>
            </w:r>
            <w:bookmarkEnd w:id="9"/>
          </w:p>
        </w:tc>
      </w:tr>
      <w:tr w:rsidR="00F33736" w:rsidRPr="00F33736" w14:paraId="23D9C3E1" w14:textId="77777777" w:rsidTr="00420C41">
        <w:trPr>
          <w:cantSplit/>
        </w:trPr>
        <w:tc>
          <w:tcPr>
            <w:tcW w:w="9885" w:type="dxa"/>
            <w:hideMark/>
          </w:tcPr>
          <w:p w14:paraId="5561CBF1" w14:textId="25547FC3" w:rsidR="00F33736" w:rsidRPr="00F33736" w:rsidRDefault="006E2D3F" w:rsidP="00420C41">
            <w:pPr>
              <w:overflowPunct/>
              <w:autoSpaceDE/>
              <w:autoSpaceDN/>
              <w:adjustRightInd/>
              <w:spacing w:before="240"/>
              <w:jc w:val="center"/>
              <w:textAlignment w:val="auto"/>
              <w:rPr>
                <w:b/>
                <w:sz w:val="28"/>
                <w:lang w:eastAsia="zh-CN"/>
              </w:rPr>
            </w:pPr>
            <w:bookmarkStart w:id="10" w:name="_Hlk167777038"/>
            <w:r>
              <w:rPr>
                <w:b/>
                <w:sz w:val="28"/>
                <w:lang w:eastAsia="zh-CN"/>
              </w:rPr>
              <w:t>Additional</w:t>
            </w:r>
            <w:r w:rsidR="00F33736" w:rsidRPr="00F33736">
              <w:rPr>
                <w:b/>
                <w:sz w:val="28"/>
                <w:lang w:eastAsia="zh-CN"/>
              </w:rPr>
              <w:t xml:space="preserve"> technical information</w:t>
            </w:r>
            <w:r w:rsidR="00193C9B">
              <w:rPr>
                <w:b/>
                <w:sz w:val="28"/>
                <w:lang w:eastAsia="zh-CN"/>
              </w:rPr>
              <w:t xml:space="preserve"> on WAIC operations</w:t>
            </w:r>
            <w:bookmarkEnd w:id="10"/>
          </w:p>
        </w:tc>
      </w:tr>
    </w:tbl>
    <w:p w14:paraId="42CCE483" w14:textId="344B3234" w:rsidR="003E5F24" w:rsidRDefault="00F33736" w:rsidP="00193C9B">
      <w:pPr>
        <w:spacing w:before="360"/>
        <w:textAlignment w:val="auto"/>
      </w:pPr>
      <w:bookmarkStart w:id="11" w:name="dbreak"/>
      <w:bookmarkEnd w:id="11"/>
      <w:r w:rsidRPr="00F33736">
        <w:t xml:space="preserve">Working Party (WP) 5B </w:t>
      </w:r>
      <w:r w:rsidR="0049138D">
        <w:t>would like to thank</w:t>
      </w:r>
      <w:r w:rsidRPr="00F33736">
        <w:t xml:space="preserve"> </w:t>
      </w:r>
      <w:r w:rsidR="00193C9B">
        <w:t>ICAO for its recent liaison statements containing additional technical and operational characteristics for WAIC operating in the frequency band</w:t>
      </w:r>
      <w:r w:rsidR="0049138D">
        <w:t xml:space="preserve"> 4200- 4400 MHz</w:t>
      </w:r>
      <w:r w:rsidR="00193C9B">
        <w:t xml:space="preserve"> ([reference to most recent ICAO LSs]). WP 5B notes that ICAO is developing draft WAIC SARPs that “</w:t>
      </w:r>
      <w:r w:rsidR="00193C9B" w:rsidRPr="00193C9B">
        <w:t>specify that WAIC receivers shall tolerate interference from sources operating outside of the frequency band 4 200-4 400 MHz whose total combined emitted power falling within the frequency band 4 200-4 400 MHz does not exceed a power spectral density of −120 dBm/MHz as measured at the receiver input port.</w:t>
      </w:r>
      <w:r w:rsidR="00193C9B">
        <w:t>”  Based on technical analysis submitted to WP 5B ([reference, as needed)]</w:t>
      </w:r>
      <w:bookmarkStart w:id="12" w:name="_Hlk160740447"/>
      <w:r w:rsidR="00193C9B">
        <w:t>,</w:t>
      </w:r>
      <w:r w:rsidR="003E5F24" w:rsidRPr="0039236D">
        <w:rPr>
          <w:color w:val="000000" w:themeColor="text1"/>
        </w:rPr>
        <w:t xml:space="preserve"> it appears that WAIC usage outside of aircraft</w:t>
      </w:r>
      <w:r w:rsidR="0039236D" w:rsidRPr="0039236D">
        <w:rPr>
          <w:color w:val="000000" w:themeColor="text1"/>
        </w:rPr>
        <w:t>,</w:t>
      </w:r>
      <w:r w:rsidR="003E5F24" w:rsidRPr="0039236D">
        <w:rPr>
          <w:color w:val="000000" w:themeColor="text1"/>
        </w:rPr>
        <w:t xml:space="preserve"> especially with ICAO proposed requirements</w:t>
      </w:r>
      <w:r w:rsidR="0039236D" w:rsidRPr="0039236D">
        <w:rPr>
          <w:color w:val="000000" w:themeColor="text1"/>
        </w:rPr>
        <w:t>,</w:t>
      </w:r>
      <w:r w:rsidR="003E5F24" w:rsidRPr="0039236D">
        <w:rPr>
          <w:color w:val="000000" w:themeColor="text1"/>
        </w:rPr>
        <w:t xml:space="preserve"> indicate</w:t>
      </w:r>
      <w:r w:rsidR="00F41E03">
        <w:rPr>
          <w:color w:val="000000" w:themeColor="text1"/>
        </w:rPr>
        <w:t>s</w:t>
      </w:r>
      <w:r w:rsidR="003E5F24" w:rsidRPr="0039236D">
        <w:rPr>
          <w:color w:val="000000" w:themeColor="text1"/>
        </w:rPr>
        <w:t xml:space="preserve"> that it cannot work in the current</w:t>
      </w:r>
      <w:r w:rsidR="0039236D" w:rsidRPr="0039236D">
        <w:rPr>
          <w:color w:val="000000" w:themeColor="text1"/>
        </w:rPr>
        <w:t xml:space="preserve"> interference</w:t>
      </w:r>
      <w:r w:rsidR="003E5F24" w:rsidRPr="0039236D">
        <w:rPr>
          <w:color w:val="000000" w:themeColor="text1"/>
        </w:rPr>
        <w:t xml:space="preserve"> environment with </w:t>
      </w:r>
      <w:r w:rsidR="0039236D" w:rsidRPr="0039236D">
        <w:rPr>
          <w:color w:val="000000" w:themeColor="text1"/>
        </w:rPr>
        <w:t>other operational</w:t>
      </w:r>
      <w:r w:rsidR="003E5F24" w:rsidRPr="0039236D">
        <w:rPr>
          <w:color w:val="000000" w:themeColor="text1"/>
        </w:rPr>
        <w:t xml:space="preserve"> systems</w:t>
      </w:r>
      <w:r w:rsidR="0039236D" w:rsidRPr="0039236D">
        <w:rPr>
          <w:color w:val="000000" w:themeColor="text1"/>
        </w:rPr>
        <w:t xml:space="preserve"> </w:t>
      </w:r>
      <w:r w:rsidR="00F41E03">
        <w:rPr>
          <w:color w:val="000000" w:themeColor="text1"/>
        </w:rPr>
        <w:t>that</w:t>
      </w:r>
      <w:r w:rsidR="0039236D" w:rsidRPr="0039236D">
        <w:rPr>
          <w:color w:val="000000" w:themeColor="text1"/>
        </w:rPr>
        <w:t xml:space="preserve"> have</w:t>
      </w:r>
      <w:r w:rsidR="003E5F24" w:rsidRPr="0039236D">
        <w:rPr>
          <w:color w:val="000000" w:themeColor="text1"/>
        </w:rPr>
        <w:t xml:space="preserve"> spurious emissions falling in</w:t>
      </w:r>
      <w:r w:rsidR="0039236D">
        <w:rPr>
          <w:color w:val="000000" w:themeColor="text1"/>
        </w:rPr>
        <w:t>to the 4.2 – 4.4 GHz</w:t>
      </w:r>
      <w:r w:rsidR="003E5F24" w:rsidRPr="0039236D">
        <w:rPr>
          <w:color w:val="000000" w:themeColor="text1"/>
        </w:rPr>
        <w:t xml:space="preserve"> band. </w:t>
      </w:r>
      <w:r w:rsidR="0039236D" w:rsidRPr="0039236D">
        <w:rPr>
          <w:color w:val="000000" w:themeColor="text1"/>
          <w:lang w:val="en-US"/>
        </w:rPr>
        <w:t>However, this coexistence issue does not occur if a reasonable interference threshold is specified and the WAIC receiver is inside the fuselage</w:t>
      </w:r>
      <w:r w:rsidR="0039236D">
        <w:rPr>
          <w:color w:val="000000" w:themeColor="text1"/>
          <w:lang w:val="en-US"/>
        </w:rPr>
        <w:t xml:space="preserve">. </w:t>
      </w:r>
    </w:p>
    <w:bookmarkEnd w:id="12"/>
    <w:p w14:paraId="02EB1895" w14:textId="4613DE90" w:rsidR="00F33736" w:rsidRPr="00F33736" w:rsidRDefault="00F33736" w:rsidP="00F33736">
      <w:pPr>
        <w:textAlignment w:val="auto"/>
      </w:pPr>
      <w:r w:rsidRPr="00F33736">
        <w:rPr>
          <w:color w:val="000000"/>
        </w:rPr>
        <w:t>Working Party</w:t>
      </w:r>
      <w:r w:rsidRPr="00F33736">
        <w:t xml:space="preserve"> 5B </w:t>
      </w:r>
      <w:r w:rsidR="00193C9B">
        <w:t>would kindly request ICAO consider this analysis as it further develops the draft ICAO SARPs and would welcome any additional information ICAO may have available on the topic.</w:t>
      </w:r>
    </w:p>
    <w:p w14:paraId="101AB3FE" w14:textId="77777777" w:rsidR="00F33736" w:rsidRPr="00F33736" w:rsidRDefault="00F3373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77D46AE3" w14:textId="77777777" w:rsidR="00F33736" w:rsidRPr="00F33736" w:rsidRDefault="00F33736" w:rsidP="00F33736">
      <w:pPr>
        <w:spacing w:before="480"/>
        <w:jc w:val="center"/>
        <w:textAlignment w:val="auto"/>
      </w:pPr>
      <w:r w:rsidRPr="00F33736">
        <w:t>______________</w:t>
      </w:r>
    </w:p>
    <w:p w14:paraId="222B7C4C"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7D4BE239"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29774A2F" w14:textId="77777777" w:rsidR="00F33736" w:rsidRDefault="00F33736" w:rsidP="007B23C0">
      <w:pPr>
        <w:tabs>
          <w:tab w:val="clear" w:pos="1134"/>
          <w:tab w:val="clear" w:pos="1871"/>
          <w:tab w:val="clear" w:pos="2268"/>
        </w:tabs>
        <w:overflowPunct/>
        <w:autoSpaceDE/>
        <w:autoSpaceDN/>
        <w:adjustRightInd/>
        <w:spacing w:before="0"/>
        <w:textAlignment w:val="auto"/>
      </w:pPr>
    </w:p>
    <w:p w14:paraId="44E45BBD" w14:textId="77777777" w:rsidR="00E24935" w:rsidRDefault="00E24935">
      <w:pPr>
        <w:tabs>
          <w:tab w:val="clear" w:pos="1134"/>
          <w:tab w:val="clear" w:pos="1871"/>
          <w:tab w:val="clear" w:pos="2268"/>
        </w:tabs>
        <w:overflowPunct/>
        <w:autoSpaceDE/>
        <w:autoSpaceDN/>
        <w:adjustRightInd/>
        <w:spacing w:before="0"/>
        <w:textAlignment w:val="auto"/>
      </w:pPr>
    </w:p>
    <w:sectPr w:rsidR="00E24935" w:rsidSect="00190ED8">
      <w:footerReference w:type="default" r:id="rId20"/>
      <w:headerReference w:type="first" r:id="rId21"/>
      <w:footerReference w:type="first" r:id="rId2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1A61" w14:textId="77777777" w:rsidR="00E02098" w:rsidRDefault="00E02098">
      <w:pPr>
        <w:spacing w:before="0"/>
      </w:pPr>
      <w:r>
        <w:separator/>
      </w:r>
    </w:p>
  </w:endnote>
  <w:endnote w:type="continuationSeparator" w:id="0">
    <w:p w14:paraId="47DA64B1" w14:textId="77777777" w:rsidR="00E02098" w:rsidRDefault="00E02098">
      <w:pPr>
        <w:spacing w:before="0"/>
      </w:pPr>
      <w:r>
        <w:continuationSeparator/>
      </w:r>
    </w:p>
  </w:endnote>
  <w:endnote w:type="continuationNotice" w:id="1">
    <w:p w14:paraId="106B9798" w14:textId="77777777" w:rsidR="00E02098" w:rsidRDefault="00E020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3" w:name="TITUS1FooterPrimary"/>
    <w:r w:rsidRPr="008D365B">
      <w:rPr>
        <w:color w:val="000000"/>
        <w:sz w:val="17"/>
      </w:rPr>
      <w:t>  </w:t>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4" w:name="TITUS1FooterFirstPage"/>
    <w:r w:rsidRPr="008D365B">
      <w:rPr>
        <w:color w:val="000000"/>
        <w:sz w:val="17"/>
      </w:rPr>
      <w:t>  </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CCB0" w14:textId="77777777" w:rsidR="00E02098" w:rsidRDefault="00E02098">
      <w:pPr>
        <w:spacing w:before="0"/>
      </w:pPr>
      <w:r>
        <w:separator/>
      </w:r>
    </w:p>
  </w:footnote>
  <w:footnote w:type="continuationSeparator" w:id="0">
    <w:p w14:paraId="4A042BC3" w14:textId="77777777" w:rsidR="00E02098" w:rsidRDefault="00E02098">
      <w:pPr>
        <w:spacing w:before="0"/>
      </w:pPr>
      <w:r>
        <w:continuationSeparator/>
      </w:r>
    </w:p>
  </w:footnote>
  <w:footnote w:type="continuationNotice" w:id="1">
    <w:p w14:paraId="7F5C63A7" w14:textId="77777777" w:rsidR="00E02098" w:rsidRDefault="00E02098">
      <w:pPr>
        <w:spacing w:before="0"/>
      </w:pPr>
    </w:p>
  </w:footnote>
  <w:footnote w:id="2">
    <w:p w14:paraId="416316BB" w14:textId="77777777" w:rsidR="00BD1576" w:rsidRPr="00D53F6B" w:rsidRDefault="00BD1576" w:rsidP="00BD1576">
      <w:pPr>
        <w:pStyle w:val="FootnoteText"/>
        <w:rPr>
          <w:sz w:val="20"/>
          <w:lang w:val="en-US"/>
        </w:rPr>
      </w:pPr>
      <w:r w:rsidRPr="00D53F6B">
        <w:rPr>
          <w:rStyle w:val="FootnoteReference"/>
          <w:sz w:val="20"/>
        </w:rPr>
        <w:footnoteRef/>
      </w:r>
      <w:r w:rsidRPr="00D53F6B">
        <w:rPr>
          <w:sz w:val="20"/>
        </w:rPr>
        <w:t xml:space="preserve"> </w:t>
      </w:r>
      <w:r w:rsidRPr="00D53F6B">
        <w:rPr>
          <w:i/>
          <w:iCs/>
          <w:sz w:val="20"/>
        </w:rPr>
        <w:t>Instrument Procedures Handbook</w:t>
      </w:r>
      <w:r w:rsidRPr="00D53F6B">
        <w:rPr>
          <w:sz w:val="20"/>
        </w:rPr>
        <w:t>, FAA-H-8083-168, Federal Aviation Administration, Department of Transportation, 2017, at 2-2.  “When operating under IFR, between the surface and an altitude of Flight Level (FL) 290, no aircraft should come closer vertically than 1,000 feet.”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7F0"/>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3B91"/>
    <w:rsid w:val="00054550"/>
    <w:rsid w:val="000552DD"/>
    <w:rsid w:val="00055503"/>
    <w:rsid w:val="00055603"/>
    <w:rsid w:val="000563A7"/>
    <w:rsid w:val="000568C7"/>
    <w:rsid w:val="00057496"/>
    <w:rsid w:val="00060FAE"/>
    <w:rsid w:val="000622E4"/>
    <w:rsid w:val="000641FD"/>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3C9B"/>
    <w:rsid w:val="00194686"/>
    <w:rsid w:val="0019490C"/>
    <w:rsid w:val="00195780"/>
    <w:rsid w:val="00196B53"/>
    <w:rsid w:val="001A2E82"/>
    <w:rsid w:val="001A3CAE"/>
    <w:rsid w:val="001A3CD3"/>
    <w:rsid w:val="001A52F8"/>
    <w:rsid w:val="001A5572"/>
    <w:rsid w:val="001A591C"/>
    <w:rsid w:val="001A633A"/>
    <w:rsid w:val="001A6B03"/>
    <w:rsid w:val="001A6FB2"/>
    <w:rsid w:val="001B0EE5"/>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75F"/>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0C41"/>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6E8"/>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A86"/>
    <w:rsid w:val="006F5508"/>
    <w:rsid w:val="006F7053"/>
    <w:rsid w:val="007006E7"/>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A79"/>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5E31"/>
    <w:rsid w:val="00866231"/>
    <w:rsid w:val="00871DE1"/>
    <w:rsid w:val="00872159"/>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469A"/>
    <w:rsid w:val="008C4E6E"/>
    <w:rsid w:val="008C5DF8"/>
    <w:rsid w:val="008C5FFC"/>
    <w:rsid w:val="008D088E"/>
    <w:rsid w:val="008D15CA"/>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5C96"/>
    <w:rsid w:val="00996471"/>
    <w:rsid w:val="00997176"/>
    <w:rsid w:val="009A0717"/>
    <w:rsid w:val="009A08E6"/>
    <w:rsid w:val="009A1D90"/>
    <w:rsid w:val="009A1E6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395D"/>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357"/>
    <w:rsid w:val="00BA46E6"/>
    <w:rsid w:val="00BA6291"/>
    <w:rsid w:val="00BA6911"/>
    <w:rsid w:val="00BB0324"/>
    <w:rsid w:val="00BB10D8"/>
    <w:rsid w:val="00BB146D"/>
    <w:rsid w:val="00BB279C"/>
    <w:rsid w:val="00BB5E19"/>
    <w:rsid w:val="00BB6075"/>
    <w:rsid w:val="00BB6A87"/>
    <w:rsid w:val="00BC2B11"/>
    <w:rsid w:val="00BC2C96"/>
    <w:rsid w:val="00BC3E2C"/>
    <w:rsid w:val="00BC5371"/>
    <w:rsid w:val="00BD0D2E"/>
    <w:rsid w:val="00BD1576"/>
    <w:rsid w:val="00BD1626"/>
    <w:rsid w:val="00BD19BA"/>
    <w:rsid w:val="00BD6260"/>
    <w:rsid w:val="00BE0126"/>
    <w:rsid w:val="00BE395E"/>
    <w:rsid w:val="00BE7542"/>
    <w:rsid w:val="00BE76A1"/>
    <w:rsid w:val="00BE77E2"/>
    <w:rsid w:val="00BF0D3D"/>
    <w:rsid w:val="00BF1178"/>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351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0528"/>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4AE3"/>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675B"/>
    <w:rsid w:val="00DD700D"/>
    <w:rsid w:val="00DE176D"/>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098"/>
    <w:rsid w:val="00E023E5"/>
    <w:rsid w:val="00E04A02"/>
    <w:rsid w:val="00E05C0C"/>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0578"/>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C7E"/>
    <w:rsid w:val="00EC155C"/>
    <w:rsid w:val="00EC20FA"/>
    <w:rsid w:val="00EC2A2E"/>
    <w:rsid w:val="00EC38C5"/>
    <w:rsid w:val="00EC412A"/>
    <w:rsid w:val="00EC4748"/>
    <w:rsid w:val="00EC4906"/>
    <w:rsid w:val="00EC63D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03"/>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810D9"/>
    <w:rsid w:val="00F81503"/>
    <w:rsid w:val="00F85351"/>
    <w:rsid w:val="00F86BB9"/>
    <w:rsid w:val="00F86C5B"/>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3.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316</TotalTime>
  <Pages>6</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CTIA</cp:lastModifiedBy>
  <cp:revision>11</cp:revision>
  <cp:lastPrinted>2025-02-03T15:57:00Z</cp:lastPrinted>
  <dcterms:created xsi:type="dcterms:W3CDTF">2025-02-11T14:11:00Z</dcterms:created>
  <dcterms:modified xsi:type="dcterms:W3CDTF">2025-03-17T11:09:00Z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