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A51F26"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A51F26" w:rsidRDefault="000D6DA7" w:rsidP="00767C25">
            <w:pPr>
              <w:pStyle w:val="TabletitleBR"/>
              <w:keepNext w:val="0"/>
              <w:keepLines w:val="0"/>
              <w:tabs>
                <w:tab w:val="center" w:pos="4680"/>
              </w:tabs>
              <w:suppressAutoHyphens/>
              <w:spacing w:after="0"/>
              <w:rPr>
                <w:spacing w:val="-3"/>
                <w:sz w:val="22"/>
                <w:szCs w:val="22"/>
                <w:lang w:val="en-US"/>
              </w:rPr>
            </w:pPr>
            <w:r w:rsidRPr="00A51F26">
              <w:rPr>
                <w:spacing w:val="-3"/>
                <w:sz w:val="22"/>
                <w:szCs w:val="22"/>
                <w:lang w:val="en-US"/>
              </w:rPr>
              <w:t>U.S. Radiocommunications Sector</w:t>
            </w:r>
          </w:p>
          <w:p w14:paraId="79D6DDAD" w14:textId="77777777" w:rsidR="000D6DA7" w:rsidRPr="00A51F26" w:rsidRDefault="000D6DA7" w:rsidP="00767C25">
            <w:pPr>
              <w:pStyle w:val="TabletitleBR"/>
              <w:rPr>
                <w:spacing w:val="-3"/>
                <w:sz w:val="22"/>
                <w:szCs w:val="22"/>
                <w:lang w:val="en-US"/>
              </w:rPr>
            </w:pPr>
            <w:r w:rsidRPr="00A51F26">
              <w:rPr>
                <w:spacing w:val="-3"/>
                <w:sz w:val="22"/>
                <w:szCs w:val="22"/>
                <w:lang w:val="en-US"/>
              </w:rPr>
              <w:t>Fact Sheet</w:t>
            </w:r>
          </w:p>
        </w:tc>
      </w:tr>
      <w:tr w:rsidR="000D6DA7" w:rsidRPr="00A51F26" w14:paraId="0703C036" w14:textId="77777777" w:rsidTr="00767C25">
        <w:trPr>
          <w:jc w:val="center"/>
        </w:trPr>
        <w:tc>
          <w:tcPr>
            <w:tcW w:w="4370" w:type="dxa"/>
            <w:tcBorders>
              <w:top w:val="single" w:sz="6" w:space="0" w:color="auto"/>
              <w:left w:val="double" w:sz="6" w:space="0" w:color="auto"/>
            </w:tcBorders>
          </w:tcPr>
          <w:p w14:paraId="6D7C9F9F" w14:textId="7139835A" w:rsidR="000D6DA7" w:rsidRPr="00A51F26" w:rsidRDefault="000D6DA7" w:rsidP="00767C25">
            <w:pPr>
              <w:spacing w:after="120"/>
              <w:ind w:left="900" w:right="144" w:hanging="756"/>
              <w:rPr>
                <w:lang w:val="en-US"/>
              </w:rPr>
            </w:pPr>
            <w:r w:rsidRPr="00A51F26">
              <w:rPr>
                <w:b/>
                <w:lang w:val="en-US"/>
              </w:rPr>
              <w:t>Working Party:</w:t>
            </w:r>
            <w:r w:rsidRPr="00A51F26">
              <w:rPr>
                <w:lang w:val="en-US"/>
              </w:rPr>
              <w:t xml:space="preserve">  ITU-R WP </w:t>
            </w:r>
            <w:r w:rsidR="00E44140" w:rsidRPr="00A51F26">
              <w:rPr>
                <w:lang w:val="en-US"/>
              </w:rPr>
              <w:t>5D</w:t>
            </w:r>
          </w:p>
        </w:tc>
        <w:tc>
          <w:tcPr>
            <w:tcW w:w="5008" w:type="dxa"/>
            <w:gridSpan w:val="2"/>
            <w:tcBorders>
              <w:top w:val="single" w:sz="6" w:space="0" w:color="auto"/>
              <w:right w:val="double" w:sz="6" w:space="0" w:color="auto"/>
            </w:tcBorders>
          </w:tcPr>
          <w:p w14:paraId="61048F8B" w14:textId="716DF967" w:rsidR="000D6DA7" w:rsidRPr="00A51F26" w:rsidRDefault="000D6DA7" w:rsidP="002B3DCA">
            <w:pPr>
              <w:spacing w:after="120"/>
              <w:ind w:left="144" w:right="144"/>
              <w:rPr>
                <w:lang w:val="en-US"/>
              </w:rPr>
            </w:pPr>
            <w:r w:rsidRPr="00A51F26">
              <w:rPr>
                <w:b/>
                <w:lang w:val="en-US"/>
              </w:rPr>
              <w:t>Document No:</w:t>
            </w:r>
            <w:r w:rsidR="00EA1409" w:rsidRPr="00A51F26">
              <w:rPr>
                <w:lang w:val="en-US"/>
              </w:rPr>
              <w:t xml:space="preserve">  </w:t>
            </w:r>
            <w:r w:rsidR="00172D70" w:rsidRPr="00A51F26">
              <w:rPr>
                <w:lang w:val="en-US"/>
              </w:rPr>
              <w:t>USWP</w:t>
            </w:r>
            <w:r w:rsidR="00E44140" w:rsidRPr="00A51F26">
              <w:rPr>
                <w:lang w:val="en-US"/>
              </w:rPr>
              <w:t>5D_</w:t>
            </w:r>
            <w:r w:rsidR="00A51F26" w:rsidRPr="00A51F26">
              <w:rPr>
                <w:lang w:val="en-US"/>
              </w:rPr>
              <w:t>50</w:t>
            </w:r>
            <w:r w:rsidR="0030015E">
              <w:rPr>
                <w:lang w:val="en-US"/>
              </w:rPr>
              <w:t>/</w:t>
            </w:r>
            <w:r w:rsidR="006C048D">
              <w:rPr>
                <w:lang w:val="en-US"/>
              </w:rPr>
              <w:t xml:space="preserve">06 </w:t>
            </w:r>
            <w:r w:rsidR="0030015E">
              <w:rPr>
                <w:lang w:val="en-US"/>
              </w:rPr>
              <w:t>ctia0</w:t>
            </w:r>
            <w:r w:rsidR="0048594C">
              <w:rPr>
                <w:lang w:val="en-US"/>
              </w:rPr>
              <w:t>2</w:t>
            </w:r>
          </w:p>
        </w:tc>
      </w:tr>
      <w:tr w:rsidR="000D6DA7" w:rsidRPr="00A51F26" w14:paraId="1FFDA5D2" w14:textId="77777777" w:rsidTr="00767C25">
        <w:trPr>
          <w:jc w:val="center"/>
        </w:trPr>
        <w:tc>
          <w:tcPr>
            <w:tcW w:w="4370" w:type="dxa"/>
            <w:tcBorders>
              <w:left w:val="double" w:sz="6" w:space="0" w:color="auto"/>
            </w:tcBorders>
          </w:tcPr>
          <w:p w14:paraId="35F17CA2" w14:textId="3D2CC03E" w:rsidR="000D6DA7" w:rsidRPr="00A51F26" w:rsidRDefault="000D6DA7" w:rsidP="0031259E">
            <w:pPr>
              <w:pStyle w:val="DocData"/>
              <w:framePr w:hSpace="0" w:wrap="auto" w:hAnchor="text" w:yAlign="inline"/>
              <w:rPr>
                <w:lang w:val="en-US"/>
              </w:rPr>
            </w:pPr>
            <w:r w:rsidRPr="00A51F26">
              <w:rPr>
                <w:lang w:val="en-US"/>
              </w:rPr>
              <w:t xml:space="preserve">Ref:  </w:t>
            </w:r>
            <w:r w:rsidR="00E44140" w:rsidRPr="00A51F26">
              <w:rPr>
                <w:lang w:val="en-US"/>
              </w:rPr>
              <w:t xml:space="preserve">Resolution </w:t>
            </w:r>
            <w:r w:rsidR="00E44140" w:rsidRPr="00A51F26">
              <w:rPr>
                <w:bCs/>
                <w:lang w:val="en-US"/>
              </w:rPr>
              <w:t>256 (WRC-23)</w:t>
            </w:r>
            <w:r w:rsidR="00E44140" w:rsidRPr="00A51F26">
              <w:rPr>
                <w:lang w:val="en-US"/>
              </w:rPr>
              <w:t xml:space="preserve">, </w:t>
            </w:r>
            <w:r w:rsidR="00943D1A" w:rsidRPr="00A51F26">
              <w:rPr>
                <w:lang w:val="en-US"/>
              </w:rPr>
              <w:br/>
              <w:t>Annex 4.</w:t>
            </w:r>
            <w:r w:rsidR="0010792D">
              <w:rPr>
                <w:lang w:val="en-US"/>
              </w:rPr>
              <w:t>11</w:t>
            </w:r>
            <w:r w:rsidR="00943D1A" w:rsidRPr="00A51F26">
              <w:rPr>
                <w:lang w:val="en-US"/>
              </w:rPr>
              <w:t xml:space="preserve"> to Document 5D/</w:t>
            </w:r>
            <w:r w:rsidR="004D684E">
              <w:rPr>
                <w:lang w:val="en-US"/>
              </w:rPr>
              <w:t>792</w:t>
            </w:r>
            <w:r w:rsidR="00943D1A" w:rsidRPr="00A51F26">
              <w:rPr>
                <w:lang w:val="en-US"/>
              </w:rPr>
              <w:t>-E</w:t>
            </w:r>
          </w:p>
        </w:tc>
        <w:tc>
          <w:tcPr>
            <w:tcW w:w="5008" w:type="dxa"/>
            <w:gridSpan w:val="2"/>
            <w:tcBorders>
              <w:right w:val="double" w:sz="6" w:space="0" w:color="auto"/>
            </w:tcBorders>
          </w:tcPr>
          <w:p w14:paraId="0C47225B" w14:textId="034E9ABD" w:rsidR="000D6DA7" w:rsidRPr="00A51F26" w:rsidRDefault="000D6DA7" w:rsidP="0017259F">
            <w:pPr>
              <w:tabs>
                <w:tab w:val="left" w:pos="162"/>
              </w:tabs>
              <w:spacing w:before="0"/>
              <w:ind w:left="612" w:right="144" w:hanging="468"/>
              <w:rPr>
                <w:lang w:val="en-US"/>
              </w:rPr>
            </w:pPr>
            <w:r w:rsidRPr="00A51F26">
              <w:rPr>
                <w:b/>
                <w:lang w:val="en-US"/>
              </w:rPr>
              <w:t>Date:</w:t>
            </w:r>
            <w:r w:rsidR="00650E47" w:rsidRPr="00A51F26">
              <w:rPr>
                <w:lang w:val="en-US"/>
              </w:rPr>
              <w:t xml:space="preserve">  </w:t>
            </w:r>
            <w:r w:rsidR="00CC035F" w:rsidRPr="00A51F26">
              <w:rPr>
                <w:lang w:val="en-US"/>
              </w:rPr>
              <w:t xml:space="preserve"> </w:t>
            </w:r>
            <w:r w:rsidR="0030015E">
              <w:rPr>
                <w:lang w:val="en-US"/>
              </w:rPr>
              <w:t>July 13</w:t>
            </w:r>
            <w:r w:rsidR="00FE6A0E" w:rsidRPr="00A51F26">
              <w:rPr>
                <w:lang w:val="en-US"/>
              </w:rPr>
              <w:t>, 2025</w:t>
            </w:r>
          </w:p>
        </w:tc>
      </w:tr>
      <w:tr w:rsidR="000D6DA7" w:rsidRPr="00A51F26" w14:paraId="093B2714" w14:textId="77777777" w:rsidTr="00767C25">
        <w:trPr>
          <w:jc w:val="center"/>
        </w:trPr>
        <w:tc>
          <w:tcPr>
            <w:tcW w:w="9378" w:type="dxa"/>
            <w:gridSpan w:val="3"/>
            <w:tcBorders>
              <w:left w:val="double" w:sz="6" w:space="0" w:color="auto"/>
              <w:right w:val="double" w:sz="6" w:space="0" w:color="auto"/>
            </w:tcBorders>
          </w:tcPr>
          <w:p w14:paraId="60CF3BEF" w14:textId="73579F6A" w:rsidR="000D6DA7" w:rsidRPr="00A51F26" w:rsidRDefault="000D6DA7" w:rsidP="004D1AE2">
            <w:pPr>
              <w:pStyle w:val="BodyTextIndent"/>
              <w:ind w:left="187"/>
              <w:rPr>
                <w:bCs/>
              </w:rPr>
            </w:pPr>
            <w:r w:rsidRPr="00A51F26">
              <w:rPr>
                <w:b/>
                <w:bCs/>
              </w:rPr>
              <w:t>Document Title:</w:t>
            </w:r>
            <w:r w:rsidRPr="00A51F26">
              <w:rPr>
                <w:bCs/>
              </w:rPr>
              <w:t xml:space="preserve">  </w:t>
            </w:r>
            <w:r w:rsidR="004D1AE2">
              <w:t>Sharing between the fixed service and IMT operating in the frequency band 4 400-4 800 MHz</w:t>
            </w:r>
            <w:r w:rsidR="00DA22B5" w:rsidRPr="00A51F26">
              <w:rPr>
                <w:lang w:eastAsia="zh-CN"/>
              </w:rPr>
              <w:t xml:space="preserve"> </w:t>
            </w:r>
          </w:p>
        </w:tc>
      </w:tr>
      <w:tr w:rsidR="000D6DA7" w:rsidRPr="00A51F26" w14:paraId="588452E5" w14:textId="77777777" w:rsidTr="00767C25">
        <w:trPr>
          <w:jc w:val="center"/>
        </w:trPr>
        <w:tc>
          <w:tcPr>
            <w:tcW w:w="4428" w:type="dxa"/>
            <w:gridSpan w:val="2"/>
            <w:tcBorders>
              <w:left w:val="double" w:sz="6" w:space="0" w:color="auto"/>
            </w:tcBorders>
          </w:tcPr>
          <w:p w14:paraId="3D56E948" w14:textId="77777777" w:rsidR="000D6DA7" w:rsidRPr="00A51F26" w:rsidRDefault="000D6DA7" w:rsidP="00767C25">
            <w:pPr>
              <w:ind w:left="144" w:right="144"/>
              <w:rPr>
                <w:b/>
                <w:lang w:val="en-US"/>
              </w:rPr>
            </w:pPr>
            <w:r w:rsidRPr="00A51F26">
              <w:rPr>
                <w:b/>
                <w:lang w:val="en-US"/>
              </w:rPr>
              <w:t>Author(s)/Contributors(s):</w:t>
            </w:r>
          </w:p>
          <w:p w14:paraId="0DB40365" w14:textId="1A02844B" w:rsidR="0058660A" w:rsidRPr="00A51F26" w:rsidRDefault="000F4F73" w:rsidP="0058660A">
            <w:pPr>
              <w:spacing w:before="0"/>
              <w:ind w:left="144" w:right="144"/>
              <w:rPr>
                <w:bCs/>
                <w:iCs/>
                <w:lang w:val="en-US"/>
              </w:rPr>
            </w:pPr>
            <w:r w:rsidRPr="00A51F26">
              <w:rPr>
                <w:bCs/>
                <w:iCs/>
                <w:lang w:val="en-US"/>
              </w:rPr>
              <w:t>Michael Mullinix</w:t>
            </w:r>
          </w:p>
          <w:p w14:paraId="46D0DD62" w14:textId="0A4C9140" w:rsidR="000F4F73" w:rsidRPr="00A51F26" w:rsidRDefault="000F4F73" w:rsidP="0058660A">
            <w:pPr>
              <w:spacing w:before="0"/>
              <w:ind w:left="144" w:right="144"/>
              <w:rPr>
                <w:bCs/>
                <w:iCs/>
                <w:lang w:val="en-US"/>
              </w:rPr>
            </w:pPr>
            <w:r w:rsidRPr="00A51F26">
              <w:rPr>
                <w:bCs/>
                <w:iCs/>
                <w:lang w:val="en-US"/>
              </w:rPr>
              <w:t>CTIA</w:t>
            </w:r>
          </w:p>
          <w:p w14:paraId="4DF2E4B3" w14:textId="77777777" w:rsidR="0058660A" w:rsidRPr="00A51F26" w:rsidRDefault="0058660A" w:rsidP="0058660A">
            <w:pPr>
              <w:spacing w:before="0"/>
              <w:ind w:right="144"/>
              <w:rPr>
                <w:bCs/>
                <w:iCs/>
                <w:lang w:val="en-US"/>
              </w:rPr>
            </w:pPr>
          </w:p>
          <w:p w14:paraId="00DFCE18" w14:textId="1CF925C7" w:rsidR="00A474D9" w:rsidRPr="00A51F26" w:rsidRDefault="00A474D9" w:rsidP="000F4F73">
            <w:pPr>
              <w:spacing w:before="0"/>
              <w:ind w:left="144" w:right="144"/>
              <w:rPr>
                <w:bCs/>
                <w:iCs/>
                <w:lang w:val="en-US"/>
              </w:rPr>
            </w:pPr>
          </w:p>
        </w:tc>
        <w:tc>
          <w:tcPr>
            <w:tcW w:w="4950" w:type="dxa"/>
            <w:tcBorders>
              <w:right w:val="double" w:sz="6" w:space="0" w:color="auto"/>
            </w:tcBorders>
          </w:tcPr>
          <w:p w14:paraId="24F215C2" w14:textId="77777777" w:rsidR="000D6DA7" w:rsidRPr="00A51F26" w:rsidRDefault="000D6DA7" w:rsidP="00767C25">
            <w:pPr>
              <w:ind w:left="144" w:right="144"/>
              <w:rPr>
                <w:bCs/>
                <w:lang w:val="en-US"/>
              </w:rPr>
            </w:pPr>
          </w:p>
          <w:p w14:paraId="2362246D" w14:textId="5D702C1C" w:rsidR="0058660A" w:rsidRPr="00A51F26" w:rsidRDefault="0058660A" w:rsidP="0058660A">
            <w:pPr>
              <w:spacing w:before="0"/>
              <w:ind w:left="144" w:right="144"/>
              <w:rPr>
                <w:bCs/>
                <w:lang w:val="en-US"/>
              </w:rPr>
            </w:pPr>
            <w:r w:rsidRPr="00A51F26">
              <w:rPr>
                <w:bCs/>
                <w:lang w:val="en-US"/>
              </w:rPr>
              <w:t xml:space="preserve">Phone: </w:t>
            </w:r>
            <w:r w:rsidR="000F4F73" w:rsidRPr="00A51F26">
              <w:rPr>
                <w:bCs/>
                <w:lang w:val="en-US"/>
              </w:rPr>
              <w:t>301-639-7159</w:t>
            </w:r>
          </w:p>
          <w:p w14:paraId="071C3B80" w14:textId="073FBD22" w:rsidR="0058660A" w:rsidRPr="00A51F26" w:rsidRDefault="0058660A" w:rsidP="0058660A">
            <w:pPr>
              <w:spacing w:before="0"/>
              <w:ind w:left="144" w:right="144"/>
              <w:rPr>
                <w:bCs/>
                <w:color w:val="000000"/>
                <w:lang w:val="en-US"/>
              </w:rPr>
            </w:pPr>
            <w:r w:rsidRPr="00A51F26">
              <w:rPr>
                <w:bCs/>
                <w:color w:val="000000"/>
                <w:lang w:val="en-US"/>
              </w:rPr>
              <w:t xml:space="preserve">Email: </w:t>
            </w:r>
            <w:r w:rsidR="000F4F73" w:rsidRPr="00A51F26">
              <w:rPr>
                <w:bCs/>
                <w:color w:val="000000"/>
                <w:lang w:val="en-US"/>
              </w:rPr>
              <w:t>mmullinix@ctia.org</w:t>
            </w:r>
          </w:p>
          <w:p w14:paraId="61233F11" w14:textId="3FF7A95A" w:rsidR="0058660A" w:rsidRPr="00A51F26" w:rsidRDefault="000F4F73" w:rsidP="0058660A">
            <w:pPr>
              <w:spacing w:before="0"/>
              <w:ind w:right="144"/>
              <w:rPr>
                <w:bCs/>
                <w:lang w:val="en-US"/>
              </w:rPr>
            </w:pPr>
            <w:r w:rsidRPr="00A51F26">
              <w:rPr>
                <w:bCs/>
                <w:lang w:val="en-US"/>
              </w:rPr>
              <w:t xml:space="preserve">  </w:t>
            </w:r>
          </w:p>
          <w:p w14:paraId="03E051C2" w14:textId="77777777" w:rsidR="000F4F73" w:rsidRPr="00A51F26" w:rsidRDefault="000F4F73" w:rsidP="0058660A">
            <w:pPr>
              <w:spacing w:before="0"/>
              <w:ind w:right="144"/>
              <w:rPr>
                <w:bCs/>
                <w:lang w:val="en-US"/>
              </w:rPr>
            </w:pPr>
          </w:p>
          <w:p w14:paraId="4523B975" w14:textId="77777777" w:rsidR="0051744D" w:rsidRPr="00A51F26" w:rsidRDefault="0051744D" w:rsidP="0058660A">
            <w:pPr>
              <w:spacing w:before="0"/>
              <w:ind w:right="144"/>
              <w:rPr>
                <w:bCs/>
                <w:lang w:val="en-US"/>
              </w:rPr>
            </w:pPr>
          </w:p>
          <w:p w14:paraId="0E502D36" w14:textId="77777777" w:rsidR="00795449" w:rsidRPr="00A51F26" w:rsidRDefault="00795449" w:rsidP="0058660A">
            <w:pPr>
              <w:spacing w:before="0"/>
              <w:ind w:right="144"/>
              <w:rPr>
                <w:bCs/>
                <w:iCs/>
                <w:lang w:val="en-US"/>
              </w:rPr>
            </w:pPr>
          </w:p>
          <w:p w14:paraId="729EFE07" w14:textId="5726B37F" w:rsidR="004C757E" w:rsidRPr="00A51F26" w:rsidRDefault="00795449" w:rsidP="000F4F73">
            <w:pPr>
              <w:spacing w:before="0"/>
              <w:ind w:right="144"/>
              <w:rPr>
                <w:bCs/>
                <w:color w:val="000000"/>
                <w:lang w:val="en-US"/>
              </w:rPr>
            </w:pPr>
            <w:r w:rsidRPr="00A51F26">
              <w:rPr>
                <w:bCs/>
                <w:iCs/>
                <w:lang w:val="en-US"/>
              </w:rPr>
              <w:t xml:space="preserve">  </w:t>
            </w:r>
          </w:p>
        </w:tc>
      </w:tr>
      <w:tr w:rsidR="000D6DA7" w:rsidRPr="00A51F26" w14:paraId="5AE13B7D" w14:textId="77777777" w:rsidTr="00767C25">
        <w:trPr>
          <w:jc w:val="center"/>
        </w:trPr>
        <w:tc>
          <w:tcPr>
            <w:tcW w:w="9378" w:type="dxa"/>
            <w:gridSpan w:val="3"/>
            <w:tcBorders>
              <w:left w:val="double" w:sz="6" w:space="0" w:color="auto"/>
              <w:right w:val="double" w:sz="6" w:space="0" w:color="auto"/>
            </w:tcBorders>
          </w:tcPr>
          <w:p w14:paraId="676CFADF" w14:textId="3BAD841F" w:rsidR="000D6DA7" w:rsidRPr="00A51F26" w:rsidRDefault="000D6DA7" w:rsidP="00475C63">
            <w:pPr>
              <w:spacing w:after="120"/>
              <w:ind w:left="187" w:right="144"/>
              <w:rPr>
                <w:bCs/>
                <w:lang w:val="en-US"/>
              </w:rPr>
            </w:pPr>
            <w:r w:rsidRPr="00A51F26">
              <w:rPr>
                <w:b/>
                <w:lang w:val="en-US"/>
              </w:rPr>
              <w:t>Purpose/Objective:</w:t>
            </w:r>
            <w:r w:rsidRPr="00A51F26">
              <w:rPr>
                <w:bCs/>
                <w:lang w:val="en-US"/>
              </w:rPr>
              <w:t xml:space="preserve">  </w:t>
            </w:r>
            <w:bookmarkStart w:id="0" w:name="_Hlk30001984"/>
            <w:r w:rsidR="00647CCB" w:rsidRPr="00A51F26">
              <w:rPr>
                <w:bCs/>
                <w:lang w:val="en-US"/>
              </w:rPr>
              <w:t>This contribution</w:t>
            </w:r>
            <w:r w:rsidR="006D5EFE" w:rsidRPr="00A51F26">
              <w:rPr>
                <w:bCs/>
                <w:lang w:val="en-US"/>
              </w:rPr>
              <w:t xml:space="preserve"> </w:t>
            </w:r>
            <w:r w:rsidR="00E44140" w:rsidRPr="00A51F26">
              <w:rPr>
                <w:bCs/>
                <w:lang w:val="en-US"/>
              </w:rPr>
              <w:t>pr</w:t>
            </w:r>
            <w:r w:rsidR="00DA22B5" w:rsidRPr="00A51F26">
              <w:rPr>
                <w:bCs/>
                <w:lang w:val="en-US"/>
              </w:rPr>
              <w:t xml:space="preserve">esents </w:t>
            </w:r>
            <w:r w:rsidR="00FE6A0E" w:rsidRPr="00A51F26">
              <w:rPr>
                <w:bCs/>
                <w:lang w:val="en-US"/>
              </w:rPr>
              <w:t>a</w:t>
            </w:r>
            <w:r w:rsidR="00DA22B5" w:rsidRPr="00A51F26">
              <w:rPr>
                <w:bCs/>
                <w:lang w:val="en-US"/>
              </w:rPr>
              <w:t xml:space="preserve"> study between IMT and </w:t>
            </w:r>
            <w:r w:rsidR="00832117">
              <w:rPr>
                <w:bCs/>
                <w:lang w:val="en-US"/>
              </w:rPr>
              <w:t>fixed service (FS)</w:t>
            </w:r>
            <w:r w:rsidR="00DA22B5" w:rsidRPr="00A51F26">
              <w:rPr>
                <w:bCs/>
                <w:lang w:val="en-US"/>
              </w:rPr>
              <w:t xml:space="preserve"> receivers in the </w:t>
            </w:r>
            <w:r w:rsidR="00832117">
              <w:rPr>
                <w:bCs/>
                <w:lang w:val="en-US"/>
              </w:rPr>
              <w:t>4400-4800</w:t>
            </w:r>
            <w:r w:rsidR="00DA22B5" w:rsidRPr="00A51F26">
              <w:rPr>
                <w:bCs/>
                <w:lang w:val="en-US"/>
              </w:rPr>
              <w:t xml:space="preserve"> MHz frequency band.</w:t>
            </w:r>
            <w:r w:rsidR="000F4F73" w:rsidRPr="00A51F26">
              <w:rPr>
                <w:bCs/>
                <w:lang w:val="en-US"/>
              </w:rPr>
              <w:t xml:space="preserve"> </w:t>
            </w:r>
            <w:bookmarkEnd w:id="0"/>
          </w:p>
        </w:tc>
      </w:tr>
      <w:tr w:rsidR="000D6DA7" w:rsidRPr="00A51F26"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8EB1E18" w:rsidR="000D6DA7" w:rsidRPr="00A51F26" w:rsidRDefault="000D6DA7" w:rsidP="00DB736D">
            <w:pPr>
              <w:spacing w:after="120"/>
              <w:ind w:left="187" w:right="144"/>
              <w:rPr>
                <w:bCs/>
                <w:lang w:val="en-US"/>
              </w:rPr>
            </w:pPr>
            <w:r w:rsidRPr="00A51F26">
              <w:rPr>
                <w:b/>
                <w:lang w:val="en-US"/>
              </w:rPr>
              <w:t>Abstract:</w:t>
            </w:r>
            <w:r w:rsidR="00D30DE8" w:rsidRPr="00A51F26">
              <w:rPr>
                <w:bCs/>
                <w:lang w:val="en-US"/>
              </w:rPr>
              <w:t xml:space="preserve">  </w:t>
            </w:r>
            <w:r w:rsidR="00832117" w:rsidRPr="00A51F26">
              <w:rPr>
                <w:bCs/>
                <w:lang w:val="en-US"/>
              </w:rPr>
              <w:t xml:space="preserve">This contribution presents a study between IMT and </w:t>
            </w:r>
            <w:r w:rsidR="00832117">
              <w:rPr>
                <w:bCs/>
                <w:lang w:val="en-US"/>
              </w:rPr>
              <w:t>fixed service (FS)</w:t>
            </w:r>
            <w:r w:rsidR="00832117" w:rsidRPr="00A51F26">
              <w:rPr>
                <w:bCs/>
                <w:lang w:val="en-US"/>
              </w:rPr>
              <w:t xml:space="preserve"> receivers in the </w:t>
            </w:r>
            <w:r w:rsidR="00832117">
              <w:rPr>
                <w:bCs/>
                <w:lang w:val="en-US"/>
              </w:rPr>
              <w:t>4400-4800</w:t>
            </w:r>
            <w:r w:rsidR="00832117" w:rsidRPr="00A51F26">
              <w:rPr>
                <w:bCs/>
                <w:lang w:val="en-US"/>
              </w:rPr>
              <w:t xml:space="preserve"> MHz frequency band.</w:t>
            </w:r>
          </w:p>
        </w:tc>
      </w:tr>
    </w:tbl>
    <w:p w14:paraId="507A71CE" w14:textId="397F11D7" w:rsidR="00E24935" w:rsidRPr="00A51F26" w:rsidRDefault="00E24935">
      <w:pPr>
        <w:tabs>
          <w:tab w:val="clear" w:pos="1134"/>
          <w:tab w:val="clear" w:pos="1871"/>
          <w:tab w:val="clear" w:pos="2268"/>
        </w:tabs>
        <w:overflowPunct/>
        <w:autoSpaceDE/>
        <w:autoSpaceDN/>
        <w:adjustRightInd/>
        <w:spacing w:before="0"/>
        <w:textAlignment w:val="auto"/>
        <w:rPr>
          <w:lang w:val="en-US"/>
        </w:rPr>
      </w:pPr>
    </w:p>
    <w:p w14:paraId="07A03E6D" w14:textId="77777777" w:rsidR="007B23C0" w:rsidRPr="00A51F26" w:rsidRDefault="007B23C0" w:rsidP="007B23C0">
      <w:pPr>
        <w:tabs>
          <w:tab w:val="clear" w:pos="1134"/>
          <w:tab w:val="clear" w:pos="1871"/>
          <w:tab w:val="clear" w:pos="2268"/>
        </w:tabs>
        <w:overflowPunct/>
        <w:autoSpaceDE/>
        <w:autoSpaceDN/>
        <w:adjustRightInd/>
        <w:spacing w:before="0"/>
        <w:textAlignment w:val="auto"/>
        <w:rPr>
          <w:lang w:val="en-US"/>
        </w:rPr>
      </w:pPr>
      <w:r w:rsidRPr="00A51F26">
        <w:rPr>
          <w:lang w:val="en-US"/>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23C0" w:rsidRPr="00A51F26" w14:paraId="35EA9D02" w14:textId="77777777" w:rsidTr="002834B3">
        <w:trPr>
          <w:cantSplit/>
        </w:trPr>
        <w:tc>
          <w:tcPr>
            <w:tcW w:w="6487" w:type="dxa"/>
            <w:vAlign w:val="center"/>
          </w:tcPr>
          <w:p w14:paraId="29878A21" w14:textId="77777777" w:rsidR="007B23C0" w:rsidRPr="00A51F26" w:rsidRDefault="007B23C0" w:rsidP="002834B3">
            <w:pPr>
              <w:shd w:val="solid" w:color="FFFFFF" w:fill="FFFFFF"/>
              <w:spacing w:before="0"/>
              <w:rPr>
                <w:rFonts w:ascii="Verdana" w:hAnsi="Verdana" w:cs="Times New Roman Bold"/>
                <w:b/>
                <w:bCs/>
                <w:sz w:val="26"/>
                <w:szCs w:val="26"/>
                <w:lang w:val="en-US"/>
              </w:rPr>
            </w:pPr>
            <w:r w:rsidRPr="00A51F26">
              <w:rPr>
                <w:rFonts w:ascii="Verdana" w:hAnsi="Verdana" w:cs="Times New Roman Bold"/>
                <w:b/>
                <w:bCs/>
                <w:sz w:val="26"/>
                <w:szCs w:val="26"/>
                <w:lang w:val="en-US"/>
              </w:rPr>
              <w:lastRenderedPageBreak/>
              <w:t>Radiocommunication Study Groups</w:t>
            </w:r>
          </w:p>
        </w:tc>
        <w:tc>
          <w:tcPr>
            <w:tcW w:w="3402" w:type="dxa"/>
          </w:tcPr>
          <w:p w14:paraId="4FCAE61C" w14:textId="77777777" w:rsidR="007B23C0" w:rsidRPr="00A51F26" w:rsidRDefault="007B23C0" w:rsidP="002834B3">
            <w:pPr>
              <w:shd w:val="solid" w:color="FFFFFF" w:fill="FFFFFF"/>
              <w:spacing w:before="0" w:line="240" w:lineRule="atLeast"/>
              <w:rPr>
                <w:lang w:val="en-US"/>
              </w:rPr>
            </w:pPr>
            <w:bookmarkStart w:id="1" w:name="ditulogo"/>
            <w:bookmarkEnd w:id="1"/>
            <w:r w:rsidRPr="00A51F26">
              <w:rPr>
                <w:noProof/>
                <w:lang w:val="en-US"/>
              </w:rPr>
              <w:drawing>
                <wp:inline distT="0" distB="0" distL="0" distR="0" wp14:anchorId="0B90C12D" wp14:editId="747566A8">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7B23C0" w:rsidRPr="00A51F26" w14:paraId="447A1DC5" w14:textId="77777777" w:rsidTr="002834B3">
        <w:trPr>
          <w:cantSplit/>
        </w:trPr>
        <w:tc>
          <w:tcPr>
            <w:tcW w:w="6487" w:type="dxa"/>
            <w:tcBorders>
              <w:bottom w:val="single" w:sz="12" w:space="0" w:color="auto"/>
            </w:tcBorders>
          </w:tcPr>
          <w:p w14:paraId="04963198" w14:textId="77777777" w:rsidR="007B23C0" w:rsidRPr="00A51F26" w:rsidRDefault="007B23C0" w:rsidP="002834B3">
            <w:pPr>
              <w:shd w:val="solid" w:color="FFFFFF" w:fill="FFFFFF"/>
              <w:spacing w:before="0" w:after="48"/>
              <w:rPr>
                <w:rFonts w:ascii="Verdana" w:hAnsi="Verdana" w:cs="Times New Roman Bold"/>
                <w:b/>
                <w:sz w:val="22"/>
                <w:szCs w:val="22"/>
                <w:lang w:val="en-US"/>
              </w:rPr>
            </w:pPr>
          </w:p>
        </w:tc>
        <w:tc>
          <w:tcPr>
            <w:tcW w:w="3402" w:type="dxa"/>
            <w:tcBorders>
              <w:bottom w:val="single" w:sz="12" w:space="0" w:color="auto"/>
            </w:tcBorders>
          </w:tcPr>
          <w:p w14:paraId="10F93BDC" w14:textId="77777777" w:rsidR="007B23C0" w:rsidRPr="00A51F26" w:rsidRDefault="007B23C0" w:rsidP="002834B3">
            <w:pPr>
              <w:shd w:val="solid" w:color="FFFFFF" w:fill="FFFFFF"/>
              <w:spacing w:before="0" w:after="48" w:line="240" w:lineRule="atLeast"/>
              <w:rPr>
                <w:sz w:val="22"/>
                <w:szCs w:val="22"/>
                <w:lang w:val="en-US"/>
              </w:rPr>
            </w:pPr>
          </w:p>
        </w:tc>
      </w:tr>
      <w:tr w:rsidR="007B23C0" w:rsidRPr="00A51F26" w14:paraId="2FAB88B8" w14:textId="77777777" w:rsidTr="002834B3">
        <w:trPr>
          <w:cantSplit/>
        </w:trPr>
        <w:tc>
          <w:tcPr>
            <w:tcW w:w="6487" w:type="dxa"/>
            <w:tcBorders>
              <w:top w:val="single" w:sz="12" w:space="0" w:color="auto"/>
            </w:tcBorders>
          </w:tcPr>
          <w:p w14:paraId="1BD4E6E9" w14:textId="77777777" w:rsidR="007B23C0" w:rsidRPr="00A51F26" w:rsidRDefault="007B23C0" w:rsidP="002834B3">
            <w:pPr>
              <w:shd w:val="solid" w:color="FFFFFF" w:fill="FFFFFF"/>
              <w:spacing w:before="0" w:after="48"/>
              <w:rPr>
                <w:rFonts w:ascii="Verdana" w:hAnsi="Verdana" w:cs="Times New Roman Bold"/>
                <w:bCs/>
                <w:sz w:val="22"/>
                <w:szCs w:val="22"/>
                <w:lang w:val="en-US"/>
              </w:rPr>
            </w:pPr>
          </w:p>
        </w:tc>
        <w:tc>
          <w:tcPr>
            <w:tcW w:w="3402" w:type="dxa"/>
            <w:tcBorders>
              <w:top w:val="single" w:sz="12" w:space="0" w:color="auto"/>
            </w:tcBorders>
          </w:tcPr>
          <w:p w14:paraId="51AB320A" w14:textId="77777777" w:rsidR="007B23C0" w:rsidRPr="00A51F26" w:rsidRDefault="007B23C0" w:rsidP="002834B3">
            <w:pPr>
              <w:shd w:val="solid" w:color="FFFFFF" w:fill="FFFFFF"/>
              <w:spacing w:before="0" w:after="48" w:line="240" w:lineRule="atLeast"/>
              <w:rPr>
                <w:lang w:val="en-US"/>
              </w:rPr>
            </w:pPr>
          </w:p>
        </w:tc>
      </w:tr>
      <w:tr w:rsidR="00FE6A0E" w:rsidRPr="00A51F26" w14:paraId="54EB9337" w14:textId="77777777" w:rsidTr="002834B3">
        <w:trPr>
          <w:cantSplit/>
        </w:trPr>
        <w:tc>
          <w:tcPr>
            <w:tcW w:w="6487" w:type="dxa"/>
            <w:vMerge w:val="restart"/>
          </w:tcPr>
          <w:p w14:paraId="18FC4015" w14:textId="4F31667C" w:rsidR="00FE6A0E" w:rsidRPr="00A51F26" w:rsidRDefault="00FE6A0E" w:rsidP="00FE6A0E">
            <w:pPr>
              <w:shd w:val="solid" w:color="FFFFFF" w:fill="FFFFFF"/>
              <w:tabs>
                <w:tab w:val="clear" w:pos="1134"/>
                <w:tab w:val="clear" w:pos="1871"/>
                <w:tab w:val="clear" w:pos="2268"/>
              </w:tabs>
              <w:spacing w:before="0" w:after="240"/>
              <w:ind w:left="1134" w:hanging="1134"/>
              <w:rPr>
                <w:rFonts w:ascii="Verdana" w:hAnsi="Verdana"/>
                <w:sz w:val="20"/>
                <w:lang w:val="en-US"/>
              </w:rPr>
            </w:pPr>
            <w:bookmarkStart w:id="2" w:name="recibido"/>
            <w:bookmarkStart w:id="3" w:name="dnum" w:colFirst="1" w:colLast="1"/>
            <w:bookmarkEnd w:id="2"/>
            <w:r w:rsidRPr="00A51F26">
              <w:rPr>
                <w:rFonts w:ascii="Verdana" w:hAnsi="Verdana"/>
                <w:sz w:val="20"/>
                <w:lang w:val="en-US"/>
              </w:rPr>
              <w:t>Received:</w:t>
            </w:r>
            <w:r w:rsidRPr="00A51F26">
              <w:rPr>
                <w:rFonts w:ascii="Verdana" w:hAnsi="Verdana"/>
                <w:sz w:val="20"/>
                <w:lang w:val="en-US"/>
              </w:rPr>
              <w:tab/>
              <w:t>[Date]</w:t>
            </w:r>
          </w:p>
          <w:p w14:paraId="20332851" w14:textId="0DF32EDD" w:rsidR="00FE6A0E" w:rsidRPr="00A51F26" w:rsidRDefault="00FE6A0E" w:rsidP="00FE6A0E">
            <w:pPr>
              <w:shd w:val="solid" w:color="FFFFFF" w:fill="FFFFFF"/>
              <w:tabs>
                <w:tab w:val="clear" w:pos="1134"/>
                <w:tab w:val="clear" w:pos="1871"/>
                <w:tab w:val="clear" w:pos="2268"/>
              </w:tabs>
              <w:spacing w:before="0" w:after="240"/>
              <w:ind w:left="1134" w:hanging="1134"/>
              <w:rPr>
                <w:rFonts w:ascii="Verdana" w:hAnsi="Verdana"/>
                <w:sz w:val="20"/>
                <w:lang w:val="en-US"/>
              </w:rPr>
            </w:pPr>
            <w:r w:rsidRPr="00A51F26">
              <w:rPr>
                <w:rFonts w:ascii="Verdana" w:hAnsi="Verdana"/>
                <w:sz w:val="20"/>
                <w:lang w:val="en-US"/>
              </w:rPr>
              <w:t>Source:</w:t>
            </w:r>
            <w:r w:rsidRPr="00A51F26">
              <w:rPr>
                <w:lang w:val="en-US"/>
              </w:rPr>
              <w:t xml:space="preserve"> </w:t>
            </w:r>
            <w:r w:rsidRPr="00A51F26">
              <w:rPr>
                <w:lang w:val="en-US"/>
              </w:rPr>
              <w:tab/>
            </w:r>
            <w:r w:rsidRPr="0010792D">
              <w:rPr>
                <w:rFonts w:ascii="Verdana" w:hAnsi="Verdana"/>
                <w:sz w:val="20"/>
                <w:lang w:val="en-US"/>
              </w:rPr>
              <w:t>Annex</w:t>
            </w:r>
            <w:r w:rsidR="00EC03BC" w:rsidRPr="0010792D">
              <w:rPr>
                <w:rFonts w:ascii="Verdana" w:hAnsi="Verdana"/>
                <w:sz w:val="20"/>
                <w:lang w:val="en-US"/>
              </w:rPr>
              <w:t xml:space="preserve"> 4.1</w:t>
            </w:r>
            <w:r w:rsidR="0010792D" w:rsidRPr="0010792D">
              <w:rPr>
                <w:rFonts w:ascii="Verdana" w:hAnsi="Verdana"/>
                <w:sz w:val="20"/>
                <w:lang w:val="en-US"/>
              </w:rPr>
              <w:t>1</w:t>
            </w:r>
            <w:r w:rsidRPr="0010792D">
              <w:rPr>
                <w:rFonts w:ascii="Verdana" w:hAnsi="Verdana"/>
                <w:sz w:val="20"/>
                <w:lang w:val="en-US"/>
              </w:rPr>
              <w:t xml:space="preserve"> (Attachment</w:t>
            </w:r>
            <w:r w:rsidR="00172914" w:rsidRPr="0010792D">
              <w:rPr>
                <w:rFonts w:ascii="Verdana" w:hAnsi="Verdana"/>
                <w:sz w:val="20"/>
                <w:lang w:val="en-US"/>
              </w:rPr>
              <w:t xml:space="preserve"> 1</w:t>
            </w:r>
            <w:r w:rsidRPr="0010792D">
              <w:rPr>
                <w:rFonts w:ascii="Verdana" w:hAnsi="Verdana"/>
                <w:sz w:val="20"/>
                <w:lang w:val="en-US"/>
              </w:rPr>
              <w:t>)</w:t>
            </w:r>
            <w:r w:rsidRPr="00A51F26">
              <w:rPr>
                <w:rFonts w:ascii="Verdana" w:hAnsi="Verdana"/>
                <w:sz w:val="20"/>
                <w:lang w:val="en-US"/>
              </w:rPr>
              <w:t xml:space="preserve"> to Documen</w:t>
            </w:r>
            <w:r w:rsidR="00EC03BC">
              <w:rPr>
                <w:rFonts w:ascii="Verdana" w:hAnsi="Verdana"/>
                <w:sz w:val="20"/>
                <w:lang w:val="en-US"/>
              </w:rPr>
              <w:t xml:space="preserve">t </w:t>
            </w:r>
            <w:hyperlink r:id="rId12" w:history="1">
              <w:r w:rsidR="00EC03BC" w:rsidRPr="00EC03BC">
                <w:rPr>
                  <w:rStyle w:val="Hyperlink"/>
                  <w:rFonts w:ascii="Verdana" w:hAnsi="Verdana"/>
                  <w:sz w:val="20"/>
                  <w:lang w:val="en-US"/>
                </w:rPr>
                <w:t>5D/792</w:t>
              </w:r>
            </w:hyperlink>
          </w:p>
          <w:p w14:paraId="7F171038" w14:textId="659E783A" w:rsidR="00FE6A0E" w:rsidRPr="00A51F26" w:rsidRDefault="00FE6A0E" w:rsidP="00FE6A0E">
            <w:pPr>
              <w:shd w:val="solid" w:color="FFFFFF" w:fill="FFFFFF"/>
              <w:tabs>
                <w:tab w:val="clear" w:pos="1134"/>
                <w:tab w:val="clear" w:pos="1871"/>
                <w:tab w:val="clear" w:pos="2268"/>
              </w:tabs>
              <w:spacing w:before="0" w:after="240"/>
              <w:ind w:left="1134" w:hanging="1134"/>
              <w:rPr>
                <w:rFonts w:ascii="Verdana" w:hAnsi="Verdana"/>
                <w:sz w:val="20"/>
                <w:lang w:val="en-US"/>
              </w:rPr>
            </w:pPr>
            <w:r w:rsidRPr="00A51F26">
              <w:rPr>
                <w:rFonts w:ascii="Verdana" w:hAnsi="Verdana"/>
                <w:sz w:val="20"/>
                <w:lang w:val="en-US"/>
              </w:rPr>
              <w:t>Subject:</w:t>
            </w:r>
            <w:r w:rsidRPr="00A51F26">
              <w:rPr>
                <w:rFonts w:ascii="Verdana" w:hAnsi="Verdana"/>
                <w:sz w:val="20"/>
                <w:lang w:val="en-US"/>
              </w:rPr>
              <w:tab/>
              <w:t>WRC-27 agenda item 1.7</w:t>
            </w:r>
          </w:p>
        </w:tc>
        <w:tc>
          <w:tcPr>
            <w:tcW w:w="3402" w:type="dxa"/>
          </w:tcPr>
          <w:p w14:paraId="60DB3776" w14:textId="52AA174A" w:rsidR="00FE6A0E" w:rsidRPr="00A51F26" w:rsidRDefault="00FE6A0E" w:rsidP="00FE6A0E">
            <w:pPr>
              <w:pStyle w:val="DocData"/>
              <w:framePr w:hSpace="0" w:wrap="auto" w:hAnchor="text" w:yAlign="inline"/>
              <w:rPr>
                <w:lang w:val="en-US"/>
              </w:rPr>
            </w:pPr>
            <w:r w:rsidRPr="00A51F26">
              <w:rPr>
                <w:lang w:val="en-US"/>
              </w:rPr>
              <w:t>Document 5D/USA-E</w:t>
            </w:r>
          </w:p>
        </w:tc>
      </w:tr>
      <w:tr w:rsidR="00FE6A0E" w:rsidRPr="00A51F26" w14:paraId="3290101C" w14:textId="77777777" w:rsidTr="002834B3">
        <w:trPr>
          <w:cantSplit/>
        </w:trPr>
        <w:tc>
          <w:tcPr>
            <w:tcW w:w="6487" w:type="dxa"/>
            <w:vMerge/>
          </w:tcPr>
          <w:p w14:paraId="6C7B8DA7" w14:textId="77777777" w:rsidR="00FE6A0E" w:rsidRPr="00A51F26" w:rsidRDefault="00FE6A0E" w:rsidP="00FE6A0E">
            <w:pPr>
              <w:spacing w:before="60"/>
              <w:jc w:val="center"/>
              <w:rPr>
                <w:b/>
                <w:smallCaps/>
                <w:sz w:val="32"/>
                <w:lang w:val="en-US" w:eastAsia="zh-CN"/>
              </w:rPr>
            </w:pPr>
            <w:bookmarkStart w:id="4" w:name="ddate" w:colFirst="1" w:colLast="1"/>
            <w:bookmarkEnd w:id="3"/>
          </w:p>
        </w:tc>
        <w:tc>
          <w:tcPr>
            <w:tcW w:w="3402" w:type="dxa"/>
          </w:tcPr>
          <w:p w14:paraId="5AF6365A" w14:textId="5823A46B" w:rsidR="00FE6A0E" w:rsidRPr="00A51F26" w:rsidRDefault="00FE6A0E" w:rsidP="00FE6A0E">
            <w:pPr>
              <w:pStyle w:val="DocData"/>
              <w:framePr w:hSpace="0" w:wrap="auto" w:hAnchor="text" w:yAlign="inline"/>
              <w:rPr>
                <w:lang w:val="en-US"/>
              </w:rPr>
            </w:pPr>
            <w:r w:rsidRPr="00A51F26">
              <w:rPr>
                <w:lang w:val="en-US"/>
              </w:rPr>
              <w:t>Date 202</w:t>
            </w:r>
            <w:r w:rsidR="00172914">
              <w:rPr>
                <w:lang w:val="en-US"/>
              </w:rPr>
              <w:t>5</w:t>
            </w:r>
          </w:p>
        </w:tc>
      </w:tr>
      <w:tr w:rsidR="00FE6A0E" w:rsidRPr="00A51F26" w14:paraId="00A654E6" w14:textId="77777777" w:rsidTr="002834B3">
        <w:trPr>
          <w:cantSplit/>
        </w:trPr>
        <w:tc>
          <w:tcPr>
            <w:tcW w:w="6487" w:type="dxa"/>
            <w:vMerge/>
          </w:tcPr>
          <w:p w14:paraId="5BC6CDD9" w14:textId="77777777" w:rsidR="00FE6A0E" w:rsidRPr="00A51F26" w:rsidRDefault="00FE6A0E" w:rsidP="00FE6A0E">
            <w:pPr>
              <w:spacing w:before="60"/>
              <w:jc w:val="center"/>
              <w:rPr>
                <w:b/>
                <w:smallCaps/>
                <w:sz w:val="32"/>
                <w:lang w:val="en-US" w:eastAsia="zh-CN"/>
              </w:rPr>
            </w:pPr>
            <w:bookmarkStart w:id="5" w:name="dorlang" w:colFirst="1" w:colLast="1"/>
            <w:bookmarkEnd w:id="4"/>
          </w:p>
        </w:tc>
        <w:tc>
          <w:tcPr>
            <w:tcW w:w="3402" w:type="dxa"/>
          </w:tcPr>
          <w:p w14:paraId="209E99A8" w14:textId="77777777" w:rsidR="00FE6A0E" w:rsidRPr="00A51F26" w:rsidRDefault="00FE6A0E" w:rsidP="00FE6A0E">
            <w:pPr>
              <w:pStyle w:val="DocData"/>
              <w:framePr w:hSpace="0" w:wrap="auto" w:hAnchor="text" w:yAlign="inline"/>
              <w:rPr>
                <w:rFonts w:eastAsia="SimSun"/>
                <w:lang w:val="en-US"/>
              </w:rPr>
            </w:pPr>
            <w:r w:rsidRPr="00A51F26">
              <w:rPr>
                <w:rFonts w:eastAsia="SimSun"/>
                <w:lang w:val="en-US"/>
              </w:rPr>
              <w:t>English only</w:t>
            </w:r>
          </w:p>
          <w:p w14:paraId="73303BCA" w14:textId="77777777" w:rsidR="00FE6A0E" w:rsidRPr="00A51F26" w:rsidRDefault="00FE6A0E" w:rsidP="00FE6A0E">
            <w:pPr>
              <w:pStyle w:val="DocData"/>
              <w:framePr w:hSpace="0" w:wrap="auto" w:hAnchor="text" w:yAlign="inline"/>
              <w:rPr>
                <w:rFonts w:eastAsia="SimSun"/>
                <w:lang w:val="en-US"/>
              </w:rPr>
            </w:pPr>
          </w:p>
          <w:p w14:paraId="74D3E934" w14:textId="1C72B2CA" w:rsidR="00FE6A0E" w:rsidRPr="00A51F26" w:rsidRDefault="00FE6A0E" w:rsidP="00FE6A0E">
            <w:pPr>
              <w:pStyle w:val="DocData"/>
              <w:framePr w:hSpace="0" w:wrap="auto" w:hAnchor="text" w:yAlign="inline"/>
              <w:rPr>
                <w:rFonts w:eastAsia="SimSun"/>
                <w:lang w:val="en-US"/>
              </w:rPr>
            </w:pPr>
            <w:r w:rsidRPr="00A51F26">
              <w:rPr>
                <w:rFonts w:eastAsia="SimSun"/>
                <w:lang w:val="en-US"/>
              </w:rPr>
              <w:t>SPECTRUM ASPECTS AND WRC PREPARATIONS</w:t>
            </w:r>
          </w:p>
        </w:tc>
      </w:tr>
      <w:tr w:rsidR="00FE6A0E" w:rsidRPr="00A51F26" w14:paraId="75542168" w14:textId="77777777" w:rsidTr="002834B3">
        <w:trPr>
          <w:cantSplit/>
        </w:trPr>
        <w:tc>
          <w:tcPr>
            <w:tcW w:w="9889" w:type="dxa"/>
            <w:gridSpan w:val="2"/>
          </w:tcPr>
          <w:p w14:paraId="0813A957" w14:textId="288B907A" w:rsidR="00FE6A0E" w:rsidRPr="00A51F26" w:rsidRDefault="00FE6A0E" w:rsidP="00FE6A0E">
            <w:pPr>
              <w:pStyle w:val="Source"/>
              <w:rPr>
                <w:lang w:val="en-US" w:eastAsia="zh-CN"/>
              </w:rPr>
            </w:pPr>
            <w:bookmarkStart w:id="6" w:name="dsource" w:colFirst="0" w:colLast="0"/>
            <w:bookmarkEnd w:id="5"/>
            <w:r w:rsidRPr="00A51F26">
              <w:rPr>
                <w:lang w:val="en-US" w:eastAsia="zh-CN"/>
              </w:rPr>
              <w:t>United States of America</w:t>
            </w:r>
          </w:p>
        </w:tc>
      </w:tr>
      <w:tr w:rsidR="00FE6A0E" w:rsidRPr="00A51F26" w14:paraId="09F7539C" w14:textId="77777777" w:rsidTr="002834B3">
        <w:trPr>
          <w:cantSplit/>
        </w:trPr>
        <w:tc>
          <w:tcPr>
            <w:tcW w:w="9889" w:type="dxa"/>
            <w:gridSpan w:val="2"/>
          </w:tcPr>
          <w:p w14:paraId="0260BAE8" w14:textId="77777777" w:rsidR="00FE6A0E" w:rsidRPr="00A51F26" w:rsidRDefault="00FE6A0E" w:rsidP="00FE6A0E">
            <w:pPr>
              <w:pStyle w:val="Title1"/>
              <w:jc w:val="left"/>
              <w:rPr>
                <w:caps w:val="0"/>
                <w:lang w:val="en-US"/>
              </w:rPr>
            </w:pPr>
            <w:bookmarkStart w:id="7" w:name="drec" w:colFirst="0" w:colLast="0"/>
            <w:bookmarkEnd w:id="6"/>
          </w:p>
          <w:p w14:paraId="37927DF8" w14:textId="47E2AECD" w:rsidR="00FE6A0E" w:rsidRPr="00A51F26" w:rsidRDefault="00172914" w:rsidP="00FE6A0E">
            <w:pPr>
              <w:pStyle w:val="Title1"/>
              <w:rPr>
                <w:lang w:val="en-US" w:eastAsia="zh-CN"/>
              </w:rPr>
            </w:pPr>
            <w:r w:rsidRPr="00172914">
              <w:rPr>
                <w:lang w:val="en-US"/>
              </w:rPr>
              <w:t>Sharing between the fixed service and IMT operating in the frequency band 4 400-4 800 MHz</w:t>
            </w:r>
          </w:p>
        </w:tc>
      </w:tr>
    </w:tbl>
    <w:p w14:paraId="0052CDF7" w14:textId="77777777" w:rsidR="00A474D9" w:rsidRPr="00A51F26" w:rsidRDefault="00A474D9">
      <w:pPr>
        <w:rPr>
          <w:b/>
          <w:lang w:val="en-US"/>
        </w:rPr>
      </w:pPr>
      <w:bookmarkStart w:id="8" w:name="dtitle1" w:colFirst="0" w:colLast="0"/>
      <w:bookmarkEnd w:id="7"/>
    </w:p>
    <w:p w14:paraId="6F14ACC6" w14:textId="45BE54C3" w:rsidR="00A474D9" w:rsidRPr="00A51F26" w:rsidRDefault="00DA22B5">
      <w:pPr>
        <w:rPr>
          <w:b/>
          <w:lang w:val="en-US"/>
        </w:rPr>
      </w:pPr>
      <w:r w:rsidRPr="00A51F26">
        <w:rPr>
          <w:b/>
          <w:lang w:val="en-US"/>
        </w:rPr>
        <w:t>Summary</w:t>
      </w:r>
    </w:p>
    <w:p w14:paraId="4B8C2CE0" w14:textId="7040F04B" w:rsidR="00A474D9" w:rsidRPr="00A51F26" w:rsidRDefault="00CA34E0">
      <w:pPr>
        <w:rPr>
          <w:bCs/>
          <w:lang w:val="en-US"/>
        </w:rPr>
      </w:pPr>
      <w:r>
        <w:rPr>
          <w:bCs/>
          <w:lang w:val="en-US"/>
        </w:rPr>
        <w:t>T</w:t>
      </w:r>
      <w:r w:rsidR="00FE6A0E" w:rsidRPr="00A51F26">
        <w:rPr>
          <w:bCs/>
          <w:lang w:val="en-US"/>
        </w:rPr>
        <w:t>he United States present</w:t>
      </w:r>
      <w:r>
        <w:rPr>
          <w:bCs/>
          <w:lang w:val="en-US"/>
        </w:rPr>
        <w:t>s</w:t>
      </w:r>
      <w:r w:rsidR="00FE6A0E" w:rsidRPr="00A51F26">
        <w:rPr>
          <w:bCs/>
          <w:lang w:val="en-US"/>
        </w:rPr>
        <w:t xml:space="preserve"> a</w:t>
      </w:r>
      <w:r>
        <w:rPr>
          <w:bCs/>
          <w:lang w:val="en-US"/>
        </w:rPr>
        <w:t xml:space="preserve"> </w:t>
      </w:r>
      <w:r w:rsidR="00FE6A0E" w:rsidRPr="00A51F26">
        <w:rPr>
          <w:bCs/>
          <w:lang w:val="en-US"/>
        </w:rPr>
        <w:t>study between</w:t>
      </w:r>
      <w:r w:rsidR="00DA22B5" w:rsidRPr="00A51F26">
        <w:rPr>
          <w:bCs/>
          <w:lang w:val="en-US"/>
        </w:rPr>
        <w:t xml:space="preserve"> IMT and </w:t>
      </w:r>
      <w:r>
        <w:rPr>
          <w:bCs/>
          <w:lang w:val="en-US"/>
        </w:rPr>
        <w:t>the fixed service (FS)</w:t>
      </w:r>
      <w:r w:rsidR="00DA22B5" w:rsidRPr="00A51F26">
        <w:rPr>
          <w:bCs/>
          <w:lang w:val="en-US"/>
        </w:rPr>
        <w:t xml:space="preserve"> operating in the </w:t>
      </w:r>
      <w:r>
        <w:rPr>
          <w:bCs/>
          <w:lang w:val="en-US"/>
        </w:rPr>
        <w:t>4400-4800</w:t>
      </w:r>
      <w:r w:rsidR="00DA22B5" w:rsidRPr="00A51F26">
        <w:rPr>
          <w:bCs/>
          <w:lang w:val="en-US"/>
        </w:rPr>
        <w:t xml:space="preserve"> MHz frequency band</w:t>
      </w:r>
      <w:r w:rsidR="00FE6A0E" w:rsidRPr="00A51F26">
        <w:rPr>
          <w:bCs/>
          <w:lang w:val="en-US"/>
        </w:rPr>
        <w:t xml:space="preserve">.  This contribution </w:t>
      </w:r>
      <w:r>
        <w:rPr>
          <w:bCs/>
          <w:lang w:val="en-US"/>
        </w:rPr>
        <w:t xml:space="preserve">presents the </w:t>
      </w:r>
      <w:r w:rsidR="001063FA">
        <w:rPr>
          <w:bCs/>
          <w:lang w:val="en-US"/>
        </w:rPr>
        <w:t>system</w:t>
      </w:r>
      <w:r>
        <w:rPr>
          <w:bCs/>
          <w:lang w:val="en-US"/>
        </w:rPr>
        <w:t xml:space="preserve"> parameters and characteristics, </w:t>
      </w:r>
      <w:r w:rsidR="00FE6A0E" w:rsidRPr="00A51F26">
        <w:rPr>
          <w:bCs/>
          <w:lang w:val="en-US"/>
        </w:rPr>
        <w:t xml:space="preserve">cross-border </w:t>
      </w:r>
      <w:r w:rsidR="0027571E">
        <w:rPr>
          <w:bCs/>
          <w:lang w:val="en-US"/>
        </w:rPr>
        <w:t xml:space="preserve">Monte Carlo </w:t>
      </w:r>
      <w:r w:rsidR="001063FA">
        <w:rPr>
          <w:bCs/>
          <w:lang w:val="en-US"/>
        </w:rPr>
        <w:t>study methodology</w:t>
      </w:r>
      <w:r w:rsidR="00FE6A0E" w:rsidRPr="00A51F26">
        <w:rPr>
          <w:bCs/>
          <w:lang w:val="en-US"/>
        </w:rPr>
        <w:t xml:space="preserve">, </w:t>
      </w:r>
      <w:r w:rsidR="001063FA">
        <w:rPr>
          <w:bCs/>
          <w:lang w:val="en-US"/>
        </w:rPr>
        <w:t xml:space="preserve">and </w:t>
      </w:r>
      <w:r w:rsidR="00FE6A0E" w:rsidRPr="00A51F26">
        <w:rPr>
          <w:bCs/>
          <w:lang w:val="en-US"/>
        </w:rPr>
        <w:t>simulation results.</w:t>
      </w:r>
    </w:p>
    <w:p w14:paraId="2FCEA20F" w14:textId="705A1E55" w:rsidR="00783B1D" w:rsidRPr="00A51F26" w:rsidRDefault="00A474D9" w:rsidP="00783B1D">
      <w:pPr>
        <w:pStyle w:val="ListParagraph"/>
        <w:ind w:left="3600"/>
        <w:rPr>
          <w:b/>
          <w:lang w:val="en-US"/>
        </w:rPr>
      </w:pPr>
      <w:r w:rsidRPr="00A51F26">
        <w:rPr>
          <w:b/>
          <w:lang w:val="en-US"/>
        </w:rPr>
        <w:br w:type="page"/>
      </w:r>
    </w:p>
    <w:p w14:paraId="5F8D7B2F" w14:textId="77777777" w:rsidR="00783B1D" w:rsidRPr="00A51F26" w:rsidRDefault="00783B1D" w:rsidP="00783B1D">
      <w:pPr>
        <w:rPr>
          <w:lang w:val="en-US"/>
        </w:rPr>
      </w:pPr>
    </w:p>
    <w:p w14:paraId="7BF85D69" w14:textId="77777777" w:rsidR="00783B1D" w:rsidRPr="00A51F26" w:rsidRDefault="00783B1D" w:rsidP="00783B1D">
      <w:pPr>
        <w:pStyle w:val="Title4"/>
        <w:rPr>
          <w:lang w:val="en-US"/>
        </w:rPr>
      </w:pPr>
      <w:r w:rsidRPr="00A51F26">
        <w:rPr>
          <w:lang w:val="en-US"/>
        </w:rPr>
        <w:t>Attachment</w:t>
      </w:r>
    </w:p>
    <w:p w14:paraId="0224814E" w14:textId="2FF5C8A6" w:rsidR="00783B1D" w:rsidRPr="00A51F26" w:rsidRDefault="00783B1D" w:rsidP="00783B1D">
      <w:pPr>
        <w:keepNext/>
        <w:keepLines/>
        <w:spacing w:before="480" w:after="80"/>
        <w:jc w:val="center"/>
        <w:rPr>
          <w:rFonts w:eastAsia="Calibri"/>
          <w:caps/>
          <w:sz w:val="28"/>
          <w:lang w:val="en-US"/>
        </w:rPr>
      </w:pPr>
      <w:r w:rsidRPr="00A51F26">
        <w:rPr>
          <w:rFonts w:eastAsia="Calibri"/>
          <w:caps/>
          <w:sz w:val="28"/>
          <w:lang w:val="en-US"/>
        </w:rPr>
        <w:t xml:space="preserve">attachment </w:t>
      </w:r>
      <w:r w:rsidR="0027571E" w:rsidRPr="00547338">
        <w:rPr>
          <w:rFonts w:eastAsia="Calibri"/>
          <w:caps/>
          <w:sz w:val="28"/>
          <w:lang w:val="en-US"/>
        </w:rPr>
        <w:t>1</w:t>
      </w:r>
    </w:p>
    <w:p w14:paraId="4D814010" w14:textId="1718F800" w:rsidR="00783B1D" w:rsidRPr="00A51F26" w:rsidRDefault="00E733AC" w:rsidP="00E733AC">
      <w:pPr>
        <w:keepNext/>
        <w:keepLines/>
        <w:spacing w:before="240" w:after="280"/>
        <w:jc w:val="center"/>
        <w:rPr>
          <w:rFonts w:ascii="Times New Roman Bold" w:hAnsi="Times New Roman Bold"/>
          <w:b/>
          <w:sz w:val="28"/>
          <w:lang w:val="en-US"/>
        </w:rPr>
      </w:pPr>
      <w:r w:rsidRPr="00E733AC">
        <w:rPr>
          <w:rFonts w:ascii="Times New Roman Bold" w:hAnsi="Times New Roman Bold"/>
          <w:b/>
          <w:sz w:val="28"/>
          <w:lang w:val="en-US"/>
        </w:rPr>
        <w:t>Sharing between the fixed service and IMT operating in</w:t>
      </w:r>
      <w:r>
        <w:rPr>
          <w:rFonts w:ascii="Times New Roman Bold" w:hAnsi="Times New Roman Bold"/>
          <w:b/>
          <w:sz w:val="28"/>
          <w:lang w:val="en-US"/>
        </w:rPr>
        <w:t xml:space="preserve"> </w:t>
      </w:r>
      <w:r>
        <w:rPr>
          <w:rFonts w:ascii="Times New Roman Bold" w:hAnsi="Times New Roman Bold"/>
          <w:b/>
          <w:sz w:val="28"/>
          <w:lang w:val="en-US"/>
        </w:rPr>
        <w:br/>
      </w:r>
      <w:r w:rsidRPr="00E733AC">
        <w:rPr>
          <w:rFonts w:ascii="Times New Roman Bold" w:hAnsi="Times New Roman Bold"/>
          <w:b/>
          <w:sz w:val="28"/>
          <w:lang w:val="en-US"/>
        </w:rPr>
        <w:t>the frequency band 4 400-4 800 MHz</w:t>
      </w:r>
    </w:p>
    <w:p w14:paraId="72837E87" w14:textId="77777777" w:rsidR="00783B1D" w:rsidRPr="00A51F26" w:rsidRDefault="00783B1D" w:rsidP="00783B1D">
      <w:pPr>
        <w:pStyle w:val="EditorsNote"/>
        <w:rPr>
          <w:lang w:val="en-US" w:eastAsia="zh-CN"/>
        </w:rPr>
      </w:pPr>
    </w:p>
    <w:p w14:paraId="3999F449" w14:textId="1F72030E" w:rsidR="00783B1D" w:rsidRPr="00A51F26" w:rsidRDefault="00783B1D" w:rsidP="00783B1D">
      <w:pPr>
        <w:keepNext/>
        <w:keepLines/>
        <w:spacing w:before="280"/>
        <w:ind w:left="1134" w:hanging="1134"/>
        <w:outlineLvl w:val="0"/>
        <w:rPr>
          <w:b/>
          <w:sz w:val="28"/>
          <w:lang w:val="en-US"/>
        </w:rPr>
      </w:pPr>
      <w:r w:rsidRPr="00A51F26">
        <w:rPr>
          <w:b/>
          <w:sz w:val="28"/>
          <w:lang w:val="en-US"/>
        </w:rPr>
        <w:t>A</w:t>
      </w:r>
      <w:r w:rsidR="00621EFB">
        <w:rPr>
          <w:b/>
          <w:sz w:val="28"/>
          <w:lang w:val="en-US"/>
        </w:rPr>
        <w:t>1</w:t>
      </w:r>
      <w:r w:rsidRPr="00A51F26">
        <w:rPr>
          <w:b/>
          <w:sz w:val="28"/>
          <w:lang w:val="en-US"/>
        </w:rPr>
        <w:t>.</w:t>
      </w:r>
      <w:r w:rsidR="00621EFB">
        <w:rPr>
          <w:b/>
          <w:sz w:val="28"/>
          <w:lang w:val="en-US"/>
        </w:rPr>
        <w:t>1</w:t>
      </w:r>
      <w:r w:rsidRPr="00A51F26">
        <w:rPr>
          <w:b/>
          <w:sz w:val="28"/>
          <w:lang w:val="en-US"/>
        </w:rPr>
        <w:tab/>
        <w:t>Technical Analysis</w:t>
      </w:r>
    </w:p>
    <w:p w14:paraId="623D55EE" w14:textId="20CB3797" w:rsidR="00783B1D" w:rsidRPr="00A51F26" w:rsidRDefault="00783B1D" w:rsidP="00783B1D">
      <w:pPr>
        <w:keepNext/>
        <w:keepLines/>
        <w:spacing w:before="200"/>
        <w:ind w:left="1134" w:hanging="1134"/>
        <w:outlineLvl w:val="1"/>
        <w:rPr>
          <w:b/>
          <w:lang w:val="en-US" w:eastAsia="zh-CN"/>
        </w:rPr>
      </w:pPr>
      <w:r w:rsidRPr="00A51F26">
        <w:rPr>
          <w:b/>
          <w:lang w:val="en-US"/>
        </w:rPr>
        <w:t>A</w:t>
      </w:r>
      <w:r w:rsidR="00BE090E">
        <w:rPr>
          <w:b/>
          <w:lang w:val="en-US"/>
        </w:rPr>
        <w:t>1</w:t>
      </w:r>
      <w:r w:rsidRPr="00A51F26">
        <w:rPr>
          <w:b/>
          <w:lang w:val="en-US"/>
        </w:rPr>
        <w:t>.</w:t>
      </w:r>
      <w:r w:rsidR="00DF0CD9">
        <w:rPr>
          <w:b/>
          <w:lang w:val="en-US"/>
        </w:rPr>
        <w:t>1</w:t>
      </w:r>
      <w:r w:rsidRPr="00A51F26">
        <w:rPr>
          <w:b/>
          <w:lang w:val="en-US"/>
        </w:rPr>
        <w:t>.</w:t>
      </w:r>
      <w:r w:rsidR="00DF0CD9">
        <w:rPr>
          <w:b/>
          <w:lang w:val="en-US"/>
        </w:rPr>
        <w:t>4</w:t>
      </w:r>
      <w:r w:rsidRPr="00A51F26">
        <w:rPr>
          <w:b/>
          <w:lang w:val="en-US"/>
        </w:rPr>
        <w:tab/>
        <w:t xml:space="preserve">Study </w:t>
      </w:r>
      <w:r w:rsidR="00DF0CD9">
        <w:rPr>
          <w:b/>
          <w:lang w:val="en-US"/>
        </w:rPr>
        <w:t>D</w:t>
      </w:r>
      <w:r w:rsidR="0099723D">
        <w:rPr>
          <w:b/>
          <w:lang w:val="en-US"/>
        </w:rPr>
        <w:t xml:space="preserve"> [USA]</w:t>
      </w:r>
    </w:p>
    <w:p w14:paraId="078346C1" w14:textId="1AB829FF" w:rsidR="00783B1D" w:rsidRPr="00A51F26" w:rsidRDefault="00783B1D" w:rsidP="00783B1D">
      <w:pPr>
        <w:keepNext/>
        <w:keepLines/>
        <w:spacing w:before="200"/>
        <w:ind w:left="1134" w:hanging="1134"/>
        <w:outlineLvl w:val="2"/>
        <w:rPr>
          <w:b/>
          <w:lang w:val="en-US"/>
        </w:rPr>
      </w:pPr>
      <w:r w:rsidRPr="00A51F26">
        <w:rPr>
          <w:b/>
          <w:lang w:val="en-US"/>
        </w:rPr>
        <w:t>A</w:t>
      </w:r>
      <w:r w:rsidR="00DF0CD9">
        <w:rPr>
          <w:b/>
          <w:lang w:val="en-US"/>
        </w:rPr>
        <w:t>1</w:t>
      </w:r>
      <w:r w:rsidRPr="00A51F26">
        <w:rPr>
          <w:b/>
          <w:lang w:val="en-US"/>
        </w:rPr>
        <w:t>.</w:t>
      </w:r>
      <w:r w:rsidR="00DF0CD9">
        <w:rPr>
          <w:b/>
          <w:lang w:val="en-US"/>
        </w:rPr>
        <w:t>1</w:t>
      </w:r>
      <w:r w:rsidRPr="00A51F26">
        <w:rPr>
          <w:b/>
          <w:lang w:val="en-US"/>
        </w:rPr>
        <w:t>.</w:t>
      </w:r>
      <w:r w:rsidR="00DF0CD9">
        <w:rPr>
          <w:b/>
          <w:lang w:val="en-US" w:eastAsia="zh-CN"/>
        </w:rPr>
        <w:t>4</w:t>
      </w:r>
      <w:r w:rsidRPr="00A51F26">
        <w:rPr>
          <w:b/>
          <w:lang w:val="en-US"/>
        </w:rPr>
        <w:t>.</w:t>
      </w:r>
      <w:r w:rsidRPr="00A51F26">
        <w:rPr>
          <w:b/>
          <w:lang w:val="en-US" w:eastAsia="zh-CN"/>
        </w:rPr>
        <w:t>1</w:t>
      </w:r>
      <w:r w:rsidRPr="00A51F26">
        <w:rPr>
          <w:b/>
          <w:lang w:val="en-US" w:eastAsia="ja-JP"/>
        </w:rPr>
        <w:tab/>
      </w:r>
      <w:r w:rsidRPr="00A51F26">
        <w:rPr>
          <w:b/>
          <w:lang w:val="en-US"/>
        </w:rPr>
        <w:t xml:space="preserve">Technical characteristics </w:t>
      </w:r>
    </w:p>
    <w:p w14:paraId="523E214B" w14:textId="7C671CCA" w:rsidR="00783B1D" w:rsidRPr="00A51F26" w:rsidRDefault="00783B1D" w:rsidP="00783B1D">
      <w:pPr>
        <w:keepNext/>
        <w:keepLines/>
        <w:spacing w:before="200"/>
        <w:ind w:left="1134" w:hanging="1134"/>
        <w:outlineLvl w:val="3"/>
        <w:rPr>
          <w:b/>
          <w:lang w:val="en-US" w:eastAsia="zh-CN"/>
        </w:rPr>
      </w:pPr>
      <w:r w:rsidRPr="00A51F26">
        <w:rPr>
          <w:b/>
          <w:lang w:val="en-US"/>
        </w:rPr>
        <w:t>A</w:t>
      </w:r>
      <w:r w:rsidR="00DF0CD9">
        <w:rPr>
          <w:b/>
          <w:lang w:val="en-US"/>
        </w:rPr>
        <w:t>1</w:t>
      </w:r>
      <w:r w:rsidRPr="00A51F26">
        <w:rPr>
          <w:b/>
          <w:lang w:val="en-US"/>
        </w:rPr>
        <w:t>.</w:t>
      </w:r>
      <w:r w:rsidR="004D7DF6">
        <w:rPr>
          <w:b/>
          <w:lang w:val="en-US"/>
        </w:rPr>
        <w:t>1</w:t>
      </w:r>
      <w:r w:rsidRPr="00A51F26">
        <w:rPr>
          <w:b/>
          <w:lang w:val="en-US"/>
        </w:rPr>
        <w:t>.</w:t>
      </w:r>
      <w:r w:rsidR="00DF0CD9">
        <w:rPr>
          <w:b/>
          <w:lang w:val="en-US" w:eastAsia="zh-CN"/>
        </w:rPr>
        <w:t>4</w:t>
      </w:r>
      <w:r w:rsidRPr="00A51F26">
        <w:rPr>
          <w:b/>
          <w:lang w:val="en-US"/>
        </w:rPr>
        <w:t>.</w:t>
      </w:r>
      <w:r w:rsidRPr="00A51F26">
        <w:rPr>
          <w:b/>
          <w:lang w:val="en-US" w:eastAsia="ja-JP"/>
        </w:rPr>
        <w:t>1</w:t>
      </w:r>
      <w:r w:rsidRPr="00A51F26">
        <w:rPr>
          <w:b/>
          <w:lang w:val="en-US"/>
        </w:rPr>
        <w:t>.1</w:t>
      </w:r>
      <w:r w:rsidRPr="00A51F26">
        <w:rPr>
          <w:b/>
          <w:lang w:val="en-US"/>
        </w:rPr>
        <w:tab/>
        <w:t xml:space="preserve">Technical and operational characteristics of IMT systems operating in the frequency </w:t>
      </w:r>
      <w:r w:rsidRPr="00A51F26">
        <w:rPr>
          <w:b/>
          <w:lang w:val="en-US" w:eastAsia="zh-CN"/>
        </w:rPr>
        <w:t xml:space="preserve">band </w:t>
      </w:r>
      <w:r w:rsidR="00DB6270">
        <w:rPr>
          <w:b/>
          <w:lang w:val="en-US" w:eastAsia="zh-CN"/>
        </w:rPr>
        <w:t>4 400</w:t>
      </w:r>
      <w:r w:rsidRPr="00A51F26">
        <w:rPr>
          <w:b/>
          <w:lang w:val="en-US" w:eastAsia="zh-CN"/>
        </w:rPr>
        <w:t>-</w:t>
      </w:r>
      <w:r w:rsidR="00DB6270">
        <w:rPr>
          <w:b/>
          <w:lang w:val="en-US" w:eastAsia="zh-CN"/>
        </w:rPr>
        <w:t>4</w:t>
      </w:r>
      <w:r w:rsidRPr="00A51F26">
        <w:rPr>
          <w:b/>
          <w:lang w:val="en-US" w:eastAsia="zh-CN"/>
        </w:rPr>
        <w:t xml:space="preserve"> </w:t>
      </w:r>
      <w:r w:rsidR="00DB6270">
        <w:rPr>
          <w:b/>
          <w:lang w:val="en-US" w:eastAsia="zh-CN"/>
        </w:rPr>
        <w:t>800</w:t>
      </w:r>
      <w:r w:rsidRPr="00A51F26">
        <w:rPr>
          <w:b/>
          <w:lang w:val="en-US" w:eastAsia="zh-CN"/>
        </w:rPr>
        <w:t xml:space="preserve"> MHz</w:t>
      </w:r>
    </w:p>
    <w:p w14:paraId="747D2E1A" w14:textId="69CA77AE" w:rsidR="001E6315" w:rsidRPr="00D01EDA" w:rsidRDefault="001E6315" w:rsidP="001E6315">
      <w:pPr>
        <w:rPr>
          <w:lang w:eastAsia="ja-JP"/>
        </w:rPr>
      </w:pPr>
      <w:r w:rsidRPr="00D01EDA">
        <w:rPr>
          <w:lang w:eastAsia="zh-CN"/>
        </w:rPr>
        <w:t xml:space="preserve">The characteristics </w:t>
      </w:r>
      <w:r w:rsidRPr="00D01EDA">
        <w:rPr>
          <w:lang w:eastAsia="ja-JP"/>
        </w:rPr>
        <w:t>of IMT systems</w:t>
      </w:r>
      <w:r w:rsidRPr="00D01EDA">
        <w:rPr>
          <w:lang w:eastAsia="zh-CN"/>
        </w:rPr>
        <w:t xml:space="preserve"> for the frequency band 4 400-4 800 MHz are provided </w:t>
      </w:r>
      <w:r w:rsidRPr="00D01EDA">
        <w:rPr>
          <w:lang w:eastAsia="ja-JP"/>
        </w:rPr>
        <w:t>in</w:t>
      </w:r>
      <w:r w:rsidRPr="00D01EDA">
        <w:rPr>
          <w:lang w:eastAsia="zh-CN"/>
        </w:rPr>
        <w:t xml:space="preserve"> the working document on “Characteristics of terrestrial component of IMT for sharing and compatibility studies in preparation for WRC-27”</w:t>
      </w:r>
      <w:r w:rsidRPr="00D01EDA">
        <w:t xml:space="preserve"> </w:t>
      </w:r>
      <w:r w:rsidRPr="00D01EDA">
        <w:rPr>
          <w:lang w:eastAsia="zh-CN"/>
        </w:rPr>
        <w:t>(Annex 4.</w:t>
      </w:r>
      <w:r w:rsidR="009B14E1">
        <w:rPr>
          <w:lang w:eastAsia="ja-JP"/>
        </w:rPr>
        <w:t>11</w:t>
      </w:r>
      <w:r w:rsidRPr="00D01EDA">
        <w:rPr>
          <w:lang w:eastAsia="zh-CN"/>
        </w:rPr>
        <w:t xml:space="preserve"> to Document</w:t>
      </w:r>
      <w:r w:rsidR="00213785">
        <w:t xml:space="preserve"> </w:t>
      </w:r>
      <w:hyperlink r:id="rId13" w:history="1">
        <w:r w:rsidR="00213785" w:rsidRPr="00213785">
          <w:rPr>
            <w:rStyle w:val="Hyperlink"/>
          </w:rPr>
          <w:t>5D/792</w:t>
        </w:r>
      </w:hyperlink>
      <w:r w:rsidRPr="00D01EDA">
        <w:rPr>
          <w:lang w:eastAsia="zh-CN"/>
        </w:rPr>
        <w:t>)</w:t>
      </w:r>
      <w:r w:rsidRPr="00D01EDA">
        <w:rPr>
          <w:lang w:eastAsia="ja-JP"/>
        </w:rPr>
        <w:t>.</w:t>
      </w:r>
    </w:p>
    <w:p w14:paraId="74B1749C" w14:textId="4C1F1642" w:rsidR="00783B1D" w:rsidRPr="00A51F26" w:rsidRDefault="001674F7" w:rsidP="00783B1D">
      <w:pPr>
        <w:pStyle w:val="EditorsNote"/>
        <w:rPr>
          <w:i w:val="0"/>
          <w:iCs w:val="0"/>
          <w:lang w:val="en-US" w:eastAsia="zh-CN"/>
        </w:rPr>
      </w:pPr>
      <w:r>
        <w:rPr>
          <w:i w:val="0"/>
          <w:iCs w:val="0"/>
          <w:lang w:val="en-US" w:eastAsia="zh-CN"/>
        </w:rPr>
        <w:t>This study assume</w:t>
      </w:r>
      <w:r w:rsidR="00946CCF">
        <w:rPr>
          <w:i w:val="0"/>
          <w:iCs w:val="0"/>
          <w:lang w:val="en-US" w:eastAsia="zh-CN"/>
        </w:rPr>
        <w:t>d</w:t>
      </w:r>
      <w:r>
        <w:rPr>
          <w:i w:val="0"/>
          <w:iCs w:val="0"/>
          <w:lang w:val="en-US" w:eastAsia="zh-CN"/>
        </w:rPr>
        <w:t xml:space="preserve"> an urban macro deployment such that t</w:t>
      </w:r>
      <w:r w:rsidR="007A6FB8" w:rsidRPr="00A51F26">
        <w:rPr>
          <w:i w:val="0"/>
          <w:iCs w:val="0"/>
          <w:lang w:val="en-US" w:eastAsia="zh-CN"/>
        </w:rPr>
        <w:t xml:space="preserve">he IMT BS </w:t>
      </w:r>
      <w:r w:rsidR="004817FA">
        <w:rPr>
          <w:i w:val="0"/>
          <w:iCs w:val="0"/>
          <w:lang w:val="en-US" w:eastAsia="zh-CN"/>
        </w:rPr>
        <w:t xml:space="preserve">cell radius </w:t>
      </w:r>
      <w:r w:rsidR="005A3108">
        <w:rPr>
          <w:i w:val="0"/>
          <w:iCs w:val="0"/>
          <w:lang w:val="en-US" w:eastAsia="zh-CN"/>
        </w:rPr>
        <w:t>was</w:t>
      </w:r>
      <w:r w:rsidR="004817FA">
        <w:rPr>
          <w:i w:val="0"/>
          <w:iCs w:val="0"/>
          <w:lang w:val="en-US" w:eastAsia="zh-CN"/>
        </w:rPr>
        <w:t xml:space="preserve"> </w:t>
      </w:r>
      <w:r w:rsidR="007A6FB8" w:rsidRPr="00A51F26">
        <w:rPr>
          <w:i w:val="0"/>
          <w:iCs w:val="0"/>
          <w:lang w:val="en-US" w:eastAsia="zh-CN"/>
        </w:rPr>
        <w:t>4</w:t>
      </w:r>
      <w:r w:rsidR="004817FA">
        <w:rPr>
          <w:i w:val="0"/>
          <w:iCs w:val="0"/>
          <w:lang w:val="en-US" w:eastAsia="zh-CN"/>
        </w:rPr>
        <w:t>0</w:t>
      </w:r>
      <w:r w:rsidR="007A6FB8" w:rsidRPr="00A51F26">
        <w:rPr>
          <w:i w:val="0"/>
          <w:iCs w:val="0"/>
          <w:lang w:val="en-US" w:eastAsia="zh-CN"/>
        </w:rPr>
        <w:t xml:space="preserve">0m. A network loading factor (20%) </w:t>
      </w:r>
      <w:r w:rsidR="00F964D5" w:rsidRPr="00A51F26">
        <w:rPr>
          <w:i w:val="0"/>
          <w:iCs w:val="0"/>
          <w:lang w:val="en-US" w:eastAsia="zh-CN"/>
        </w:rPr>
        <w:t>was</w:t>
      </w:r>
      <w:r w:rsidR="007A6FB8" w:rsidRPr="00A51F26">
        <w:rPr>
          <w:i w:val="0"/>
          <w:iCs w:val="0"/>
          <w:lang w:val="en-US" w:eastAsia="zh-CN"/>
        </w:rPr>
        <w:t xml:space="preserve"> employed to determine the percentage of BS sectors that </w:t>
      </w:r>
      <w:r w:rsidR="00246CA1" w:rsidRPr="00A51F26">
        <w:rPr>
          <w:i w:val="0"/>
          <w:iCs w:val="0"/>
          <w:lang w:val="en-US" w:eastAsia="zh-CN"/>
        </w:rPr>
        <w:t>were</w:t>
      </w:r>
      <w:r w:rsidR="007A6FB8" w:rsidRPr="00A51F26">
        <w:rPr>
          <w:i w:val="0"/>
          <w:iCs w:val="0"/>
          <w:lang w:val="en-US" w:eastAsia="zh-CN"/>
        </w:rPr>
        <w:t xml:space="preserve"> active for a given sample. Further, the TDD activity factor was set to 75% for the BSs and 25% for the UEs. The study assume</w:t>
      </w:r>
      <w:r w:rsidR="00193B56" w:rsidRPr="00A51F26">
        <w:rPr>
          <w:i w:val="0"/>
          <w:iCs w:val="0"/>
          <w:lang w:val="en-US" w:eastAsia="zh-CN"/>
        </w:rPr>
        <w:t>d</w:t>
      </w:r>
      <w:r w:rsidR="007A6FB8" w:rsidRPr="00A51F26">
        <w:rPr>
          <w:i w:val="0"/>
          <w:iCs w:val="0"/>
          <w:lang w:val="en-US" w:eastAsia="zh-CN"/>
        </w:rPr>
        <w:t xml:space="preserve"> there </w:t>
      </w:r>
      <w:r w:rsidR="00193B56" w:rsidRPr="00A51F26">
        <w:rPr>
          <w:i w:val="0"/>
          <w:iCs w:val="0"/>
          <w:lang w:val="en-US" w:eastAsia="zh-CN"/>
        </w:rPr>
        <w:t>were</w:t>
      </w:r>
      <w:r w:rsidR="007A6FB8" w:rsidRPr="00A51F26">
        <w:rPr>
          <w:i w:val="0"/>
          <w:iCs w:val="0"/>
          <w:lang w:val="en-US" w:eastAsia="zh-CN"/>
        </w:rPr>
        <w:t xml:space="preserve"> three active UEs</w:t>
      </w:r>
      <w:r w:rsidR="00212DAF">
        <w:rPr>
          <w:i w:val="0"/>
          <w:iCs w:val="0"/>
          <w:lang w:val="en-US" w:eastAsia="zh-CN"/>
        </w:rPr>
        <w:t xml:space="preserve"> </w:t>
      </w:r>
      <w:r w:rsidR="00946CCF">
        <w:rPr>
          <w:i w:val="0"/>
          <w:iCs w:val="0"/>
          <w:lang w:val="en-US" w:eastAsia="zh-CN"/>
        </w:rPr>
        <w:t>for uplink sectors</w:t>
      </w:r>
      <w:r w:rsidR="007A6FB8" w:rsidRPr="00A51F26">
        <w:rPr>
          <w:i w:val="0"/>
          <w:iCs w:val="0"/>
          <w:lang w:val="en-US" w:eastAsia="zh-CN"/>
        </w:rPr>
        <w:t xml:space="preserve">. Further, 70% of the UEs </w:t>
      </w:r>
      <w:r w:rsidR="00193584" w:rsidRPr="00A51F26">
        <w:rPr>
          <w:i w:val="0"/>
          <w:iCs w:val="0"/>
          <w:lang w:val="en-US" w:eastAsia="zh-CN"/>
        </w:rPr>
        <w:t>were</w:t>
      </w:r>
      <w:r w:rsidR="007A6FB8" w:rsidRPr="00A51F26">
        <w:rPr>
          <w:i w:val="0"/>
          <w:iCs w:val="0"/>
          <w:lang w:val="en-US" w:eastAsia="zh-CN"/>
        </w:rPr>
        <w:t xml:space="preserve"> assumed to be indoors whose uplink transmissions experience</w:t>
      </w:r>
      <w:r w:rsidR="00193584" w:rsidRPr="00A51F26">
        <w:rPr>
          <w:i w:val="0"/>
          <w:iCs w:val="0"/>
          <w:lang w:val="en-US" w:eastAsia="zh-CN"/>
        </w:rPr>
        <w:t>d</w:t>
      </w:r>
      <w:r w:rsidR="007A6FB8" w:rsidRPr="00A51F26">
        <w:rPr>
          <w:i w:val="0"/>
          <w:iCs w:val="0"/>
          <w:lang w:val="en-US" w:eastAsia="zh-CN"/>
        </w:rPr>
        <w:t xml:space="preserve"> building entry losses. The UEs use</w:t>
      </w:r>
      <w:r w:rsidR="00193584" w:rsidRPr="00A51F26">
        <w:rPr>
          <w:i w:val="0"/>
          <w:iCs w:val="0"/>
          <w:lang w:val="en-US" w:eastAsia="zh-CN"/>
        </w:rPr>
        <w:t>d</w:t>
      </w:r>
      <w:r w:rsidR="007A6FB8" w:rsidRPr="00A51F26">
        <w:rPr>
          <w:i w:val="0"/>
          <w:iCs w:val="0"/>
          <w:lang w:val="en-US" w:eastAsia="zh-CN"/>
        </w:rPr>
        <w:t xml:space="preserve"> uplink power control </w:t>
      </w:r>
      <w:r w:rsidR="005F0118" w:rsidRPr="00A51F26">
        <w:rPr>
          <w:i w:val="0"/>
          <w:iCs w:val="0"/>
          <w:lang w:val="en-US" w:eastAsia="zh-CN"/>
        </w:rPr>
        <w:t xml:space="preserve">as prescribed by </w:t>
      </w:r>
      <w:r w:rsidR="007A6FB8" w:rsidRPr="00A51F26">
        <w:rPr>
          <w:i w:val="0"/>
          <w:iCs w:val="0"/>
          <w:lang w:val="en-US" w:eastAsia="zh-CN"/>
        </w:rPr>
        <w:t>equation 23 in Recommendation ITU-R M.2101. The BS output power per sector was 7</w:t>
      </w:r>
      <w:r w:rsidR="005A3108">
        <w:rPr>
          <w:i w:val="0"/>
          <w:iCs w:val="0"/>
          <w:lang w:val="en-US" w:eastAsia="zh-CN"/>
        </w:rPr>
        <w:t>2.2</w:t>
      </w:r>
      <w:r w:rsidR="007A6FB8" w:rsidRPr="00A51F26">
        <w:rPr>
          <w:i w:val="0"/>
          <w:iCs w:val="0"/>
          <w:lang w:val="en-US" w:eastAsia="zh-CN"/>
        </w:rPr>
        <w:t xml:space="preserve"> dBm/100 MHz. The peak BS antenna gain was calculated to be </w:t>
      </w:r>
      <w:r w:rsidR="005A3108">
        <w:rPr>
          <w:i w:val="0"/>
          <w:iCs w:val="0"/>
          <w:lang w:val="en-US" w:eastAsia="zh-CN"/>
        </w:rPr>
        <w:t>26.2</w:t>
      </w:r>
      <w:r w:rsidR="007A6FB8" w:rsidRPr="00A51F26">
        <w:rPr>
          <w:i w:val="0"/>
          <w:iCs w:val="0"/>
          <w:lang w:val="en-US" w:eastAsia="zh-CN"/>
        </w:rPr>
        <w:t xml:space="preserve"> dBi using the pattern provided for the extended version of the AAS array antenna model. The IMT BS heights were set to </w:t>
      </w:r>
      <w:r w:rsidR="005A3108">
        <w:rPr>
          <w:i w:val="0"/>
          <w:iCs w:val="0"/>
          <w:lang w:val="en-US" w:eastAsia="zh-CN"/>
        </w:rPr>
        <w:t>20</w:t>
      </w:r>
      <w:r w:rsidR="007A6FB8" w:rsidRPr="00A51F26">
        <w:rPr>
          <w:i w:val="0"/>
          <w:iCs w:val="0"/>
          <w:lang w:val="en-US" w:eastAsia="zh-CN"/>
        </w:rPr>
        <w:t xml:space="preserve"> m for a macro urban deployment and </w:t>
      </w:r>
      <w:r w:rsidR="002A5A00">
        <w:rPr>
          <w:i w:val="0"/>
          <w:iCs w:val="0"/>
          <w:lang w:val="en-US" w:eastAsia="zh-CN"/>
        </w:rPr>
        <w:t>100% of the BS experience</w:t>
      </w:r>
      <w:r w:rsidR="004D7DF6">
        <w:rPr>
          <w:i w:val="0"/>
          <w:iCs w:val="0"/>
          <w:lang w:val="en-US" w:eastAsia="zh-CN"/>
        </w:rPr>
        <w:t>d</w:t>
      </w:r>
      <w:r w:rsidR="002A5A00">
        <w:rPr>
          <w:i w:val="0"/>
          <w:iCs w:val="0"/>
          <w:lang w:val="en-US" w:eastAsia="zh-CN"/>
        </w:rPr>
        <w:t xml:space="preserve"> clutter losses</w:t>
      </w:r>
      <w:r w:rsidR="007A6FB8" w:rsidRPr="00A51F26">
        <w:rPr>
          <w:i w:val="0"/>
          <w:iCs w:val="0"/>
          <w:lang w:val="en-US" w:eastAsia="zh-CN"/>
        </w:rPr>
        <w:t>.</w:t>
      </w:r>
    </w:p>
    <w:p w14:paraId="56D38A91" w14:textId="05128F10" w:rsidR="00783B1D" w:rsidRDefault="00783B1D" w:rsidP="00783B1D">
      <w:pPr>
        <w:keepNext/>
        <w:keepLines/>
        <w:spacing w:before="200"/>
        <w:ind w:left="1134" w:hanging="1134"/>
        <w:outlineLvl w:val="3"/>
        <w:rPr>
          <w:b/>
          <w:lang w:val="en-US" w:eastAsia="zh-CN"/>
        </w:rPr>
      </w:pPr>
      <w:r w:rsidRPr="00A51F26">
        <w:rPr>
          <w:b/>
          <w:lang w:val="en-US"/>
        </w:rPr>
        <w:t>A</w:t>
      </w:r>
      <w:r w:rsidR="004D7DF6">
        <w:rPr>
          <w:b/>
          <w:lang w:val="en-US"/>
        </w:rPr>
        <w:t>1.1.4.1.2</w:t>
      </w:r>
      <w:r w:rsidRPr="00A51F26">
        <w:rPr>
          <w:b/>
          <w:lang w:val="en-US"/>
        </w:rPr>
        <w:tab/>
      </w:r>
      <w:r w:rsidR="00DB0D77" w:rsidRPr="00DB0D77">
        <w:rPr>
          <w:b/>
          <w:lang w:val="en-US"/>
        </w:rPr>
        <w:t>Technical/ operational characteristics and protection criteria of the fixed service operating in the frequency band 4 400-4 800 MHz</w:t>
      </w:r>
    </w:p>
    <w:p w14:paraId="3B9378EC" w14:textId="32B7B040" w:rsidR="002A26BB" w:rsidRPr="00D01EDA" w:rsidRDefault="002A26BB" w:rsidP="002A26BB">
      <w:pPr>
        <w:rPr>
          <w:lang w:eastAsia="ja-JP"/>
        </w:rPr>
      </w:pPr>
      <w:r w:rsidRPr="00D01EDA">
        <w:rPr>
          <w:rFonts w:eastAsia="SimSun"/>
          <w:lang w:eastAsia="zh-CN"/>
        </w:rPr>
        <w:t xml:space="preserve">The characteristics and protection criteria of </w:t>
      </w:r>
      <w:r w:rsidRPr="00D01EDA">
        <w:rPr>
          <w:lang w:eastAsia="ja-JP"/>
        </w:rPr>
        <w:t xml:space="preserve">the </w:t>
      </w:r>
      <w:r w:rsidRPr="00D01EDA">
        <w:rPr>
          <w:rFonts w:eastAsia="SimSun"/>
          <w:lang w:eastAsia="zh-CN"/>
        </w:rPr>
        <w:t xml:space="preserve">fixed service </w:t>
      </w:r>
      <w:r w:rsidRPr="00D01EDA">
        <w:rPr>
          <w:lang w:eastAsia="ja-JP"/>
        </w:rPr>
        <w:t xml:space="preserve">for </w:t>
      </w:r>
      <w:r w:rsidRPr="00D01EDA">
        <w:t xml:space="preserve">the frequency band </w:t>
      </w:r>
      <w:r w:rsidRPr="00D01EDA">
        <w:rPr>
          <w:lang w:eastAsia="zh-CN"/>
        </w:rPr>
        <w:t>4 400-4 800 MHz</w:t>
      </w:r>
      <w:r w:rsidRPr="00D01EDA">
        <w:rPr>
          <w:rFonts w:eastAsia="SimSun"/>
          <w:lang w:eastAsia="zh-CN"/>
        </w:rPr>
        <w:t xml:space="preserve"> are </w:t>
      </w:r>
      <w:r w:rsidRPr="00D01EDA">
        <w:rPr>
          <w:lang w:eastAsia="ja-JP"/>
        </w:rPr>
        <w:t xml:space="preserve">provided from WP 5C (Document </w:t>
      </w:r>
      <w:hyperlink r:id="rId14" w:history="1">
        <w:r w:rsidRPr="00C3182F">
          <w:rPr>
            <w:rStyle w:val="Hyperlink"/>
            <w:lang w:eastAsia="ja-JP"/>
          </w:rPr>
          <w:t>5D/129</w:t>
        </w:r>
      </w:hyperlink>
      <w:r w:rsidRPr="00D01EDA">
        <w:rPr>
          <w:lang w:eastAsia="ja-JP"/>
        </w:rPr>
        <w:t xml:space="preserve">). The parameters used for this sharing study are shown in TABLE </w:t>
      </w:r>
      <w:r w:rsidR="00C44828">
        <w:rPr>
          <w:lang w:eastAsia="ja-JP"/>
        </w:rPr>
        <w:t>1</w:t>
      </w:r>
      <w:r w:rsidRPr="00D01EDA">
        <w:rPr>
          <w:lang w:eastAsia="ja-JP"/>
        </w:rPr>
        <w:t xml:space="preserve"> below.</w:t>
      </w:r>
    </w:p>
    <w:p w14:paraId="2392D412" w14:textId="77777777" w:rsidR="002A26BB" w:rsidRDefault="002A26BB" w:rsidP="002A26BB">
      <w:pPr>
        <w:tabs>
          <w:tab w:val="clear" w:pos="1134"/>
          <w:tab w:val="clear" w:pos="1871"/>
          <w:tab w:val="clear" w:pos="2268"/>
        </w:tabs>
        <w:overflowPunct/>
        <w:autoSpaceDE/>
        <w:autoSpaceDN/>
        <w:adjustRightInd/>
        <w:spacing w:before="0"/>
        <w:textAlignment w:val="auto"/>
        <w:rPr>
          <w:caps/>
          <w:sz w:val="20"/>
          <w:lang w:eastAsia="zh-CN"/>
        </w:rPr>
      </w:pPr>
      <w:r>
        <w:rPr>
          <w:lang w:eastAsia="zh-CN"/>
        </w:rPr>
        <w:br w:type="page"/>
      </w:r>
    </w:p>
    <w:p w14:paraId="52DE8450" w14:textId="2450FC9C" w:rsidR="002A26BB" w:rsidRPr="00D01EDA" w:rsidRDefault="002A26BB" w:rsidP="002A26BB">
      <w:pPr>
        <w:pStyle w:val="TableNo"/>
        <w:rPr>
          <w:lang w:eastAsia="ja-JP"/>
        </w:rPr>
      </w:pPr>
      <w:r w:rsidRPr="00D01EDA">
        <w:rPr>
          <w:lang w:eastAsia="zh-CN"/>
        </w:rPr>
        <w:lastRenderedPageBreak/>
        <w:t xml:space="preserve">TABLE </w:t>
      </w:r>
      <w:r w:rsidR="00C44828">
        <w:rPr>
          <w:lang w:eastAsia="ja-JP"/>
        </w:rPr>
        <w:t>1</w:t>
      </w:r>
    </w:p>
    <w:p w14:paraId="3D86DFBB" w14:textId="77777777" w:rsidR="002A26BB" w:rsidRPr="00BE74AF" w:rsidRDefault="002A26BB" w:rsidP="002A26BB">
      <w:pPr>
        <w:pStyle w:val="Tabletitle"/>
        <w:rPr>
          <w:rFonts w:ascii="Times New Roman" w:eastAsia="SimSun" w:hAnsi="Times New Roman"/>
        </w:rPr>
      </w:pPr>
      <w:r w:rsidRPr="00D01EDA">
        <w:rPr>
          <w:rFonts w:ascii="Times New Roman" w:eastAsia="SimSun" w:hAnsi="Times New Roman"/>
        </w:rPr>
        <w:t>System parameters for PP FS systems in 4 400-4 800 MHz</w:t>
      </w:r>
      <w:r>
        <w:rPr>
          <w:rFonts w:ascii="Times New Roman" w:hAnsi="Times New Roman" w:hint="eastAsia"/>
          <w:lang w:eastAsia="ja-JP"/>
        </w:rPr>
        <w:t xml:space="preserve"> used in the sharing study</w:t>
      </w:r>
    </w:p>
    <w:tbl>
      <w:tblPr>
        <w:tblW w:w="32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3334"/>
      </w:tblGrid>
      <w:tr w:rsidR="002A26BB" w:rsidRPr="00D01EDA" w14:paraId="7D97C28D" w14:textId="77777777" w:rsidTr="00C2657A">
        <w:trPr>
          <w:trHeight w:val="433"/>
          <w:jc w:val="center"/>
        </w:trPr>
        <w:tc>
          <w:tcPr>
            <w:tcW w:w="2352" w:type="pct"/>
            <w:vAlign w:val="bottom"/>
          </w:tcPr>
          <w:p w14:paraId="7A41EDA2" w14:textId="77777777" w:rsidR="002A26BB" w:rsidRPr="00D01EDA" w:rsidRDefault="002A26BB" w:rsidP="00C2657A">
            <w:pPr>
              <w:pStyle w:val="Tablehead"/>
              <w:rPr>
                <w:rFonts w:ascii="Times New Roman" w:hAnsi="Times New Roman"/>
                <w:lang w:eastAsia="ja-JP"/>
              </w:rPr>
            </w:pPr>
            <w:r w:rsidRPr="00D01EDA">
              <w:rPr>
                <w:rFonts w:ascii="Times New Roman" w:hAnsi="Times New Roman"/>
                <w:lang w:eastAsia="ja-JP"/>
              </w:rPr>
              <w:t>System p</w:t>
            </w:r>
            <w:r w:rsidRPr="00D01EDA">
              <w:rPr>
                <w:rFonts w:ascii="Times New Roman" w:hAnsi="Times New Roman"/>
              </w:rPr>
              <w:t>arameter</w:t>
            </w:r>
            <w:r w:rsidRPr="00D01EDA">
              <w:rPr>
                <w:rFonts w:ascii="Times New Roman" w:hAnsi="Times New Roman"/>
                <w:lang w:eastAsia="ja-JP"/>
              </w:rPr>
              <w:t>s</w:t>
            </w:r>
          </w:p>
        </w:tc>
        <w:tc>
          <w:tcPr>
            <w:tcW w:w="2648" w:type="pct"/>
            <w:vAlign w:val="bottom"/>
          </w:tcPr>
          <w:p w14:paraId="4E4664D9" w14:textId="77777777" w:rsidR="002A26BB" w:rsidRPr="00D01EDA" w:rsidRDefault="002A26BB" w:rsidP="00C2657A">
            <w:pPr>
              <w:pStyle w:val="Tablehead"/>
              <w:rPr>
                <w:rFonts w:ascii="Times New Roman" w:hAnsi="Times New Roman"/>
                <w:lang w:eastAsia="ja-JP"/>
              </w:rPr>
            </w:pPr>
            <w:r w:rsidRPr="00D01EDA">
              <w:rPr>
                <w:rFonts w:ascii="Times New Roman" w:hAnsi="Times New Roman"/>
                <w:lang w:eastAsia="ja-JP"/>
              </w:rPr>
              <w:t>Values</w:t>
            </w:r>
          </w:p>
        </w:tc>
      </w:tr>
      <w:tr w:rsidR="002A26BB" w:rsidRPr="00D01EDA" w14:paraId="5CB083F2" w14:textId="77777777" w:rsidTr="00C2657A">
        <w:trPr>
          <w:trHeight w:val="337"/>
          <w:jc w:val="center"/>
        </w:trPr>
        <w:tc>
          <w:tcPr>
            <w:tcW w:w="2352" w:type="pct"/>
            <w:vAlign w:val="bottom"/>
          </w:tcPr>
          <w:p w14:paraId="420FA6BD" w14:textId="77777777" w:rsidR="002A26BB" w:rsidRPr="00D01EDA" w:rsidRDefault="002A26BB" w:rsidP="00C2657A">
            <w:pPr>
              <w:pStyle w:val="Tabletext"/>
              <w:rPr>
                <w:color w:val="000000"/>
                <w:lang w:eastAsia="ja-JP"/>
              </w:rPr>
            </w:pPr>
            <w:r w:rsidRPr="00D01EDA">
              <w:rPr>
                <w:color w:val="000000"/>
                <w:lang w:eastAsia="ja-JP"/>
              </w:rPr>
              <w:t>Modulation</w:t>
            </w:r>
          </w:p>
        </w:tc>
        <w:tc>
          <w:tcPr>
            <w:tcW w:w="2648" w:type="pct"/>
            <w:vAlign w:val="bottom"/>
          </w:tcPr>
          <w:p w14:paraId="6D7C82BD" w14:textId="77777777" w:rsidR="002A26BB" w:rsidRPr="00D01EDA" w:rsidRDefault="002A26BB" w:rsidP="00C2657A">
            <w:pPr>
              <w:pStyle w:val="Tabletext"/>
              <w:jc w:val="center"/>
              <w:rPr>
                <w:rFonts w:eastAsia="SimSun"/>
                <w:lang w:eastAsia="zh-CN"/>
              </w:rPr>
            </w:pPr>
            <w:r w:rsidRPr="00D01EDA">
              <w:rPr>
                <w:rFonts w:eastAsia="SimSun"/>
                <w:lang w:eastAsia="zh-CN"/>
              </w:rPr>
              <w:t>256-QAM</w:t>
            </w:r>
          </w:p>
        </w:tc>
      </w:tr>
      <w:tr w:rsidR="002A26BB" w:rsidRPr="00D01EDA" w14:paraId="015A5BCB" w14:textId="77777777" w:rsidTr="00C2657A">
        <w:trPr>
          <w:trHeight w:val="337"/>
          <w:jc w:val="center"/>
        </w:trPr>
        <w:tc>
          <w:tcPr>
            <w:tcW w:w="2352" w:type="pct"/>
            <w:vAlign w:val="bottom"/>
          </w:tcPr>
          <w:p w14:paraId="7AC2BB58" w14:textId="77777777" w:rsidR="002A26BB" w:rsidRPr="00D01EDA" w:rsidRDefault="002A26BB" w:rsidP="00C2657A">
            <w:pPr>
              <w:pStyle w:val="Tabletext"/>
              <w:rPr>
                <w:color w:val="000000"/>
              </w:rPr>
            </w:pPr>
            <w:r w:rsidRPr="00D01EDA">
              <w:rPr>
                <w:color w:val="000000"/>
              </w:rPr>
              <w:t>Channel spacing and receiver noise bandwidth (MHz)</w:t>
            </w:r>
          </w:p>
        </w:tc>
        <w:tc>
          <w:tcPr>
            <w:tcW w:w="2648" w:type="pct"/>
            <w:vAlign w:val="bottom"/>
          </w:tcPr>
          <w:p w14:paraId="1B9A1668" w14:textId="77777777" w:rsidR="002A26BB" w:rsidRPr="00D01EDA" w:rsidRDefault="002A26BB" w:rsidP="00C2657A">
            <w:pPr>
              <w:pStyle w:val="Tabletext"/>
              <w:jc w:val="center"/>
              <w:rPr>
                <w:lang w:eastAsia="ja-JP"/>
              </w:rPr>
            </w:pPr>
            <w:r w:rsidRPr="00D01EDA">
              <w:rPr>
                <w:rFonts w:eastAsia="SimSun"/>
                <w:lang w:eastAsia="zh-CN"/>
              </w:rPr>
              <w:t>2</w:t>
            </w:r>
            <w:r w:rsidRPr="00D01EDA">
              <w:rPr>
                <w:lang w:eastAsia="ja-JP"/>
              </w:rPr>
              <w:t>8</w:t>
            </w:r>
          </w:p>
        </w:tc>
      </w:tr>
      <w:tr w:rsidR="002A26BB" w:rsidRPr="00D01EDA" w14:paraId="3FB012F2" w14:textId="77777777" w:rsidTr="00C2657A">
        <w:trPr>
          <w:trHeight w:val="337"/>
          <w:jc w:val="center"/>
        </w:trPr>
        <w:tc>
          <w:tcPr>
            <w:tcW w:w="2352" w:type="pct"/>
            <w:vAlign w:val="bottom"/>
          </w:tcPr>
          <w:p w14:paraId="02801D38" w14:textId="77777777" w:rsidR="002A26BB" w:rsidRPr="00D01EDA" w:rsidRDefault="002A26BB" w:rsidP="00C2657A">
            <w:pPr>
              <w:pStyle w:val="Tabletext"/>
              <w:rPr>
                <w:color w:val="000000"/>
              </w:rPr>
            </w:pPr>
            <w:r w:rsidRPr="00D01EDA">
              <w:t>Tx output power range (dBW)</w:t>
            </w:r>
          </w:p>
        </w:tc>
        <w:tc>
          <w:tcPr>
            <w:tcW w:w="2648" w:type="pct"/>
            <w:vAlign w:val="bottom"/>
          </w:tcPr>
          <w:p w14:paraId="07ED8FBE" w14:textId="77777777" w:rsidR="002A26BB" w:rsidRPr="00D01EDA" w:rsidRDefault="002A26BB" w:rsidP="00C2657A">
            <w:pPr>
              <w:pStyle w:val="Tabletext"/>
              <w:jc w:val="center"/>
              <w:rPr>
                <w:lang w:eastAsia="ja-JP"/>
              </w:rPr>
            </w:pPr>
            <w:r w:rsidRPr="00D01EDA">
              <w:rPr>
                <w:lang w:eastAsia="ja-JP"/>
              </w:rPr>
              <w:t>-5</w:t>
            </w:r>
          </w:p>
        </w:tc>
      </w:tr>
      <w:tr w:rsidR="002A26BB" w:rsidRPr="00D01EDA" w14:paraId="0AA2D3F6" w14:textId="77777777" w:rsidTr="00C2657A">
        <w:trPr>
          <w:trHeight w:val="337"/>
          <w:jc w:val="center"/>
        </w:trPr>
        <w:tc>
          <w:tcPr>
            <w:tcW w:w="2352" w:type="pct"/>
            <w:vAlign w:val="center"/>
          </w:tcPr>
          <w:p w14:paraId="60D3B1D7" w14:textId="77777777" w:rsidR="002A26BB" w:rsidRPr="00D01EDA" w:rsidRDefault="002A26BB" w:rsidP="00C2657A">
            <w:pPr>
              <w:pStyle w:val="Tabletext"/>
              <w:rPr>
                <w:color w:val="000000"/>
              </w:rPr>
            </w:pPr>
            <w:r w:rsidRPr="00D01EDA">
              <w:rPr>
                <w:bCs/>
              </w:rPr>
              <w:t>Feeder/multiplexer loss (dB)</w:t>
            </w:r>
          </w:p>
        </w:tc>
        <w:tc>
          <w:tcPr>
            <w:tcW w:w="2648" w:type="pct"/>
            <w:vAlign w:val="bottom"/>
          </w:tcPr>
          <w:p w14:paraId="345A635E" w14:textId="77777777" w:rsidR="002A26BB" w:rsidRPr="00D01EDA" w:rsidRDefault="002A26BB" w:rsidP="00C2657A">
            <w:pPr>
              <w:pStyle w:val="Tabletext"/>
              <w:jc w:val="center"/>
              <w:rPr>
                <w:lang w:eastAsia="ja-JP"/>
              </w:rPr>
            </w:pPr>
            <w:r w:rsidRPr="00D01EDA">
              <w:rPr>
                <w:lang w:eastAsia="ja-JP"/>
              </w:rPr>
              <w:t>3</w:t>
            </w:r>
          </w:p>
        </w:tc>
      </w:tr>
      <w:tr w:rsidR="002A26BB" w:rsidRPr="00D01EDA" w14:paraId="48A0D30A" w14:textId="77777777" w:rsidTr="00C2657A">
        <w:trPr>
          <w:trHeight w:val="337"/>
          <w:jc w:val="center"/>
        </w:trPr>
        <w:tc>
          <w:tcPr>
            <w:tcW w:w="2352" w:type="pct"/>
            <w:vAlign w:val="center"/>
          </w:tcPr>
          <w:p w14:paraId="23AA2A6F" w14:textId="77777777" w:rsidR="002A26BB" w:rsidRPr="00D01EDA" w:rsidRDefault="002A26BB" w:rsidP="00C2657A">
            <w:pPr>
              <w:pStyle w:val="Tabletext"/>
              <w:rPr>
                <w:color w:val="000000"/>
              </w:rPr>
            </w:pPr>
            <w:r w:rsidRPr="00D01EDA">
              <w:rPr>
                <w:bCs/>
              </w:rPr>
              <w:t xml:space="preserve">Antenna gain (dBi) </w:t>
            </w:r>
          </w:p>
        </w:tc>
        <w:tc>
          <w:tcPr>
            <w:tcW w:w="2648" w:type="pct"/>
            <w:vAlign w:val="bottom"/>
          </w:tcPr>
          <w:p w14:paraId="522AA24A" w14:textId="77777777" w:rsidR="002A26BB" w:rsidRPr="00D01EDA" w:rsidRDefault="002A26BB" w:rsidP="00C2657A">
            <w:pPr>
              <w:pStyle w:val="Tabletext"/>
              <w:jc w:val="center"/>
              <w:rPr>
                <w:lang w:eastAsia="ja-JP"/>
              </w:rPr>
            </w:pPr>
            <w:r w:rsidRPr="00D01EDA">
              <w:rPr>
                <w:lang w:eastAsia="ja-JP"/>
              </w:rPr>
              <w:t>22.5</w:t>
            </w:r>
          </w:p>
        </w:tc>
      </w:tr>
      <w:tr w:rsidR="002A26BB" w:rsidRPr="00D01EDA" w14:paraId="10437FB9" w14:textId="77777777" w:rsidTr="00C2657A">
        <w:trPr>
          <w:trHeight w:val="337"/>
          <w:jc w:val="center"/>
        </w:trPr>
        <w:tc>
          <w:tcPr>
            <w:tcW w:w="2352" w:type="pct"/>
            <w:vAlign w:val="center"/>
          </w:tcPr>
          <w:p w14:paraId="5CCCFE86" w14:textId="77777777" w:rsidR="002A26BB" w:rsidRPr="00D01EDA" w:rsidRDefault="002A26BB" w:rsidP="00C2657A">
            <w:pPr>
              <w:pStyle w:val="Tabletext"/>
              <w:rPr>
                <w:color w:val="000000"/>
              </w:rPr>
            </w:pPr>
            <w:r w:rsidRPr="00D01EDA">
              <w:rPr>
                <w:bCs/>
              </w:rPr>
              <w:t>Antenna pattern</w:t>
            </w:r>
          </w:p>
        </w:tc>
        <w:tc>
          <w:tcPr>
            <w:tcW w:w="2648" w:type="pct"/>
            <w:vAlign w:val="bottom"/>
          </w:tcPr>
          <w:p w14:paraId="3F4D36FE" w14:textId="77777777" w:rsidR="002A26BB" w:rsidRPr="00D01EDA" w:rsidRDefault="002A26BB" w:rsidP="00C2657A">
            <w:pPr>
              <w:pStyle w:val="Tabletext"/>
              <w:jc w:val="center"/>
              <w:rPr>
                <w:rFonts w:eastAsia="SimSun"/>
                <w:lang w:eastAsia="zh-CN"/>
              </w:rPr>
            </w:pPr>
            <w:r w:rsidRPr="00D01EDA">
              <w:t>Recommendation ITU-R F.1245</w:t>
            </w:r>
          </w:p>
        </w:tc>
      </w:tr>
      <w:tr w:rsidR="002A26BB" w:rsidRPr="00D01EDA" w14:paraId="04597576" w14:textId="77777777" w:rsidTr="00C2657A">
        <w:trPr>
          <w:trHeight w:val="337"/>
          <w:jc w:val="center"/>
        </w:trPr>
        <w:tc>
          <w:tcPr>
            <w:tcW w:w="2352" w:type="pct"/>
            <w:vAlign w:val="center"/>
          </w:tcPr>
          <w:p w14:paraId="0887A0B2" w14:textId="77777777" w:rsidR="002A26BB" w:rsidRPr="00D01EDA" w:rsidRDefault="002A26BB" w:rsidP="00C2657A">
            <w:pPr>
              <w:pStyle w:val="Tabletext"/>
              <w:rPr>
                <w:bCs/>
              </w:rPr>
            </w:pPr>
            <w:r w:rsidRPr="00D01EDA">
              <w:t>Antenna elevation</w:t>
            </w:r>
          </w:p>
        </w:tc>
        <w:tc>
          <w:tcPr>
            <w:tcW w:w="2648" w:type="pct"/>
            <w:vAlign w:val="bottom"/>
          </w:tcPr>
          <w:p w14:paraId="562C80E3" w14:textId="77777777" w:rsidR="002A26BB" w:rsidRPr="00D01EDA" w:rsidRDefault="002A26BB" w:rsidP="00C2657A">
            <w:pPr>
              <w:pStyle w:val="Tabletext"/>
              <w:jc w:val="center"/>
              <w:rPr>
                <w:lang w:eastAsia="ja-JP"/>
              </w:rPr>
            </w:pPr>
            <w:r w:rsidRPr="00D01EDA">
              <w:rPr>
                <w:lang w:eastAsia="ja-JP"/>
              </w:rPr>
              <w:t>-0.2</w:t>
            </w:r>
          </w:p>
        </w:tc>
      </w:tr>
      <w:tr w:rsidR="002A26BB" w:rsidRPr="00D01EDA" w14:paraId="1AFFD1C8" w14:textId="77777777" w:rsidTr="00C2657A">
        <w:trPr>
          <w:trHeight w:val="337"/>
          <w:jc w:val="center"/>
        </w:trPr>
        <w:tc>
          <w:tcPr>
            <w:tcW w:w="2352" w:type="pct"/>
            <w:vAlign w:val="center"/>
          </w:tcPr>
          <w:p w14:paraId="76FBE00B" w14:textId="77777777" w:rsidR="002A26BB" w:rsidRPr="00D01EDA" w:rsidRDefault="002A26BB" w:rsidP="00C2657A">
            <w:pPr>
              <w:pStyle w:val="Tabletext"/>
              <w:rPr>
                <w:color w:val="000000"/>
              </w:rPr>
            </w:pPr>
            <w:r w:rsidRPr="00D01EDA">
              <w:rPr>
                <w:bCs/>
              </w:rPr>
              <w:t>Receiver noise figure (dB)</w:t>
            </w:r>
          </w:p>
        </w:tc>
        <w:tc>
          <w:tcPr>
            <w:tcW w:w="2648" w:type="pct"/>
            <w:vAlign w:val="bottom"/>
          </w:tcPr>
          <w:p w14:paraId="37CEFE55" w14:textId="77777777" w:rsidR="002A26BB" w:rsidRPr="00D01EDA" w:rsidRDefault="002A26BB" w:rsidP="00C2657A">
            <w:pPr>
              <w:pStyle w:val="Tabletext"/>
              <w:jc w:val="center"/>
              <w:rPr>
                <w:lang w:eastAsia="ja-JP"/>
              </w:rPr>
            </w:pPr>
            <w:r w:rsidRPr="00D01EDA">
              <w:rPr>
                <w:lang w:eastAsia="ja-JP"/>
              </w:rPr>
              <w:t>6.5</w:t>
            </w:r>
          </w:p>
        </w:tc>
      </w:tr>
      <w:tr w:rsidR="002A26BB" w:rsidRPr="00D01EDA" w14:paraId="6BBE8D96" w14:textId="77777777" w:rsidTr="00C2657A">
        <w:trPr>
          <w:trHeight w:val="337"/>
          <w:jc w:val="center"/>
        </w:trPr>
        <w:tc>
          <w:tcPr>
            <w:tcW w:w="2352" w:type="pct"/>
            <w:vAlign w:val="center"/>
          </w:tcPr>
          <w:p w14:paraId="631FA365" w14:textId="77777777" w:rsidR="002A26BB" w:rsidRPr="00D01EDA" w:rsidRDefault="002A26BB" w:rsidP="00C2657A">
            <w:pPr>
              <w:pStyle w:val="Tabletext"/>
              <w:rPr>
                <w:color w:val="000000"/>
              </w:rPr>
            </w:pPr>
            <w:r w:rsidRPr="00D01EDA">
              <w:rPr>
                <w:bCs/>
              </w:rPr>
              <w:t xml:space="preserve">Antenna height(m) </w:t>
            </w:r>
          </w:p>
        </w:tc>
        <w:tc>
          <w:tcPr>
            <w:tcW w:w="2648" w:type="pct"/>
            <w:vAlign w:val="bottom"/>
          </w:tcPr>
          <w:p w14:paraId="4FCC4D4E" w14:textId="77777777" w:rsidR="002A26BB" w:rsidRPr="00D01EDA" w:rsidRDefault="002A26BB" w:rsidP="00C2657A">
            <w:pPr>
              <w:pStyle w:val="Tabletext"/>
              <w:jc w:val="center"/>
              <w:rPr>
                <w:lang w:eastAsia="ja-JP"/>
              </w:rPr>
            </w:pPr>
            <w:r w:rsidRPr="00D01EDA">
              <w:rPr>
                <w:lang w:eastAsia="ja-JP"/>
              </w:rPr>
              <w:t>39</w:t>
            </w:r>
          </w:p>
        </w:tc>
      </w:tr>
      <w:tr w:rsidR="002A26BB" w:rsidRPr="00D01EDA" w14:paraId="4BEA5F89" w14:textId="77777777" w:rsidTr="00C2657A">
        <w:trPr>
          <w:trHeight w:val="337"/>
          <w:jc w:val="center"/>
        </w:trPr>
        <w:tc>
          <w:tcPr>
            <w:tcW w:w="2352" w:type="pct"/>
            <w:vAlign w:val="center"/>
          </w:tcPr>
          <w:p w14:paraId="084AB50C" w14:textId="77777777" w:rsidR="002A26BB" w:rsidRPr="00D01EDA" w:rsidRDefault="002A26BB" w:rsidP="00C2657A">
            <w:pPr>
              <w:pStyle w:val="Tabletext"/>
              <w:rPr>
                <w:color w:val="000000"/>
              </w:rPr>
            </w:pPr>
            <w:r w:rsidRPr="00D01EDA">
              <w:rPr>
                <w:bCs/>
              </w:rPr>
              <w:t xml:space="preserve">Link length (km) </w:t>
            </w:r>
          </w:p>
        </w:tc>
        <w:tc>
          <w:tcPr>
            <w:tcW w:w="2648" w:type="pct"/>
            <w:vAlign w:val="bottom"/>
          </w:tcPr>
          <w:p w14:paraId="35104315" w14:textId="77777777" w:rsidR="002A26BB" w:rsidRPr="00D01EDA" w:rsidRDefault="002A26BB" w:rsidP="00C2657A">
            <w:pPr>
              <w:pStyle w:val="Tabletext"/>
              <w:jc w:val="center"/>
              <w:rPr>
                <w:lang w:eastAsia="ja-JP"/>
              </w:rPr>
            </w:pPr>
            <w:r w:rsidRPr="00D01EDA">
              <w:rPr>
                <w:lang w:eastAsia="ja-JP"/>
              </w:rPr>
              <w:t>41</w:t>
            </w:r>
          </w:p>
        </w:tc>
      </w:tr>
      <w:tr w:rsidR="002A26BB" w:rsidRPr="00D01EDA" w14:paraId="5948947A" w14:textId="77777777" w:rsidTr="00C2657A">
        <w:trPr>
          <w:trHeight w:val="337"/>
          <w:jc w:val="center"/>
        </w:trPr>
        <w:tc>
          <w:tcPr>
            <w:tcW w:w="2352" w:type="pct"/>
            <w:vAlign w:val="center"/>
          </w:tcPr>
          <w:p w14:paraId="795FDB9D" w14:textId="77777777" w:rsidR="002A26BB" w:rsidRPr="00D01EDA" w:rsidRDefault="002A26BB" w:rsidP="00C2657A">
            <w:pPr>
              <w:pStyle w:val="Tabletext"/>
              <w:rPr>
                <w:color w:val="000000"/>
              </w:rPr>
            </w:pPr>
            <w:r w:rsidRPr="00D01EDA">
              <w:rPr>
                <w:bCs/>
              </w:rPr>
              <w:t>Nominal long-term interference power density (dBW/MHz)</w:t>
            </w:r>
          </w:p>
        </w:tc>
        <w:tc>
          <w:tcPr>
            <w:tcW w:w="2648" w:type="pct"/>
            <w:vAlign w:val="bottom"/>
          </w:tcPr>
          <w:p w14:paraId="6D7915DC" w14:textId="77777777" w:rsidR="002A26BB" w:rsidRPr="00D01EDA" w:rsidRDefault="002A26BB" w:rsidP="00C2657A">
            <w:pPr>
              <w:pStyle w:val="Tabletext"/>
              <w:jc w:val="center"/>
              <w:rPr>
                <w:lang w:eastAsia="ja-JP"/>
              </w:rPr>
            </w:pPr>
            <w:r w:rsidRPr="00D01EDA">
              <w:rPr>
                <w:rFonts w:eastAsia="SimSun"/>
                <w:lang w:eastAsia="zh-CN"/>
              </w:rPr>
              <w:t>−137.5 + I/N</w:t>
            </w:r>
          </w:p>
        </w:tc>
      </w:tr>
      <w:tr w:rsidR="002A26BB" w:rsidRPr="00D01EDA" w14:paraId="2364368C" w14:textId="77777777" w:rsidTr="00C2657A">
        <w:trPr>
          <w:trHeight w:val="337"/>
          <w:jc w:val="center"/>
        </w:trPr>
        <w:tc>
          <w:tcPr>
            <w:tcW w:w="2352" w:type="pct"/>
            <w:vAlign w:val="center"/>
          </w:tcPr>
          <w:p w14:paraId="5074FA64" w14:textId="77777777" w:rsidR="002A26BB" w:rsidRPr="00D01EDA" w:rsidRDefault="002A26BB" w:rsidP="00C2657A">
            <w:pPr>
              <w:pStyle w:val="Tabletext"/>
              <w:rPr>
                <w:color w:val="000000"/>
                <w:lang w:eastAsia="ja-JP"/>
              </w:rPr>
            </w:pPr>
            <w:r w:rsidRPr="00D01EDA">
              <w:rPr>
                <w:bCs/>
              </w:rPr>
              <w:t>Long term I/N protection criteria</w:t>
            </w:r>
            <w:r w:rsidRPr="00D01EDA">
              <w:rPr>
                <w:bCs/>
                <w:lang w:eastAsia="ja-JP"/>
              </w:rPr>
              <w:t xml:space="preserve"> (dB)</w:t>
            </w:r>
          </w:p>
        </w:tc>
        <w:tc>
          <w:tcPr>
            <w:tcW w:w="2648" w:type="pct"/>
            <w:vAlign w:val="bottom"/>
          </w:tcPr>
          <w:p w14:paraId="32B6A1A6" w14:textId="77777777" w:rsidR="002A26BB" w:rsidRPr="00D01EDA" w:rsidRDefault="002A26BB" w:rsidP="00C2657A">
            <w:pPr>
              <w:pStyle w:val="Tabletext"/>
              <w:jc w:val="center"/>
              <w:rPr>
                <w:lang w:eastAsia="ja-JP"/>
              </w:rPr>
            </w:pPr>
            <w:r w:rsidRPr="00D01EDA">
              <w:rPr>
                <w:lang w:eastAsia="ja-JP"/>
              </w:rPr>
              <w:t xml:space="preserve">-10 </w:t>
            </w:r>
            <w:r w:rsidRPr="00D01EDA">
              <w:t xml:space="preserve">not to be exceeded for more than </w:t>
            </w:r>
            <w:r w:rsidRPr="00D01EDA">
              <w:rPr>
                <w:rFonts w:eastAsia="SimSun"/>
                <w:lang w:eastAsia="zh-CN"/>
              </w:rPr>
              <w:t>20</w:t>
            </w:r>
            <w:r w:rsidRPr="00D01EDA">
              <w:t>% of the time</w:t>
            </w:r>
            <w:r w:rsidRPr="00D01EDA">
              <w:rPr>
                <w:rFonts w:eastAsia="SimSun"/>
                <w:lang w:eastAsia="zh-CN"/>
              </w:rPr>
              <w:t>.</w:t>
            </w:r>
          </w:p>
        </w:tc>
      </w:tr>
    </w:tbl>
    <w:p w14:paraId="61AC6FF8" w14:textId="77777777" w:rsidR="002A26BB" w:rsidRPr="00A51F26" w:rsidRDefault="002A26BB" w:rsidP="00DB0D77">
      <w:pPr>
        <w:keepNext/>
        <w:keepLines/>
        <w:spacing w:before="200"/>
        <w:outlineLvl w:val="3"/>
        <w:rPr>
          <w:b/>
          <w:lang w:val="en-US" w:eastAsia="zh-CN"/>
        </w:rPr>
      </w:pPr>
    </w:p>
    <w:p w14:paraId="0A3831AA" w14:textId="64F25096" w:rsidR="00783B1D" w:rsidRPr="00A51F26" w:rsidRDefault="00783B1D" w:rsidP="00783B1D">
      <w:pPr>
        <w:keepNext/>
        <w:keepLines/>
        <w:spacing w:before="200"/>
        <w:outlineLvl w:val="3"/>
        <w:rPr>
          <w:b/>
          <w:lang w:val="en-US" w:eastAsia="zh-CN"/>
        </w:rPr>
      </w:pPr>
      <w:r w:rsidRPr="00A51F26">
        <w:rPr>
          <w:b/>
          <w:lang w:val="en-US"/>
        </w:rPr>
        <w:t>A</w:t>
      </w:r>
      <w:r w:rsidR="00A55702">
        <w:rPr>
          <w:b/>
          <w:lang w:val="en-US"/>
        </w:rPr>
        <w:t>1.1.4.2</w:t>
      </w:r>
      <w:r w:rsidRPr="00A51F26">
        <w:rPr>
          <w:b/>
          <w:lang w:val="en-US"/>
        </w:rPr>
        <w:tab/>
        <w:t>Propagation models used in the study</w:t>
      </w:r>
    </w:p>
    <w:p w14:paraId="0D8C9992" w14:textId="77777777" w:rsidR="00425AF4" w:rsidRPr="00A51F26" w:rsidRDefault="00425AF4" w:rsidP="00425AF4">
      <w:pPr>
        <w:pStyle w:val="enumlev1"/>
        <w:rPr>
          <w:lang w:val="en-US"/>
        </w:rPr>
      </w:pPr>
      <w:r w:rsidRPr="00A51F26">
        <w:rPr>
          <w:lang w:val="en-US"/>
        </w:rPr>
        <w:t>–</w:t>
      </w:r>
      <w:r w:rsidRPr="00A51F26">
        <w:rPr>
          <w:lang w:val="en-US"/>
        </w:rPr>
        <w:tab/>
      </w:r>
      <w:r w:rsidRPr="00A51F26">
        <w:rPr>
          <w:color w:val="0000FF" w:themeColor="hyperlink"/>
          <w:u w:val="single"/>
          <w:lang w:val="en-US"/>
        </w:rPr>
        <w:t xml:space="preserve">ITU-R </w:t>
      </w:r>
      <w:hyperlink r:id="rId15" w:history="1">
        <w:r w:rsidRPr="00A51F26">
          <w:rPr>
            <w:color w:val="0000FF" w:themeColor="hyperlink"/>
            <w:u w:val="single"/>
            <w:lang w:val="en-US"/>
          </w:rPr>
          <w:t>P.2001</w:t>
        </w:r>
      </w:hyperlink>
      <w:r w:rsidRPr="00A51F26">
        <w:rPr>
          <w:lang w:val="en-US"/>
        </w:rPr>
        <w:t xml:space="preserve"> – A general purpose wide-range terrestrial propagation model in the frequency range 30 MHz to 50 GHz</w:t>
      </w:r>
    </w:p>
    <w:p w14:paraId="28D5ED7F" w14:textId="77777777" w:rsidR="00783B1D" w:rsidRPr="00A51F26" w:rsidRDefault="00783B1D" w:rsidP="00783B1D">
      <w:pPr>
        <w:pStyle w:val="enumlev1"/>
        <w:rPr>
          <w:rFonts w:asciiTheme="majorBidi" w:hAnsiTheme="majorBidi" w:cstheme="majorBidi"/>
          <w:bCs/>
          <w:lang w:val="en-US" w:eastAsia="zh-CN"/>
        </w:rPr>
      </w:pPr>
      <w:r w:rsidRPr="00A51F26">
        <w:rPr>
          <w:lang w:val="en-US"/>
        </w:rPr>
        <w:t>–</w:t>
      </w:r>
      <w:r w:rsidRPr="00A51F26">
        <w:rPr>
          <w:lang w:val="en-US"/>
        </w:rPr>
        <w:tab/>
      </w:r>
      <w:r w:rsidRPr="00A51F26">
        <w:rPr>
          <w:rFonts w:asciiTheme="majorBidi" w:hAnsiTheme="majorBidi" w:cstheme="majorBidi"/>
          <w:bCs/>
          <w:color w:val="0000FF" w:themeColor="hyperlink"/>
          <w:u w:val="single"/>
          <w:lang w:val="en-US"/>
        </w:rPr>
        <w:t xml:space="preserve">ITU-R </w:t>
      </w:r>
      <w:hyperlink r:id="rId16" w:history="1">
        <w:r w:rsidRPr="00A51F26">
          <w:rPr>
            <w:rFonts w:asciiTheme="majorBidi" w:hAnsiTheme="majorBidi" w:cstheme="majorBidi"/>
            <w:bCs/>
            <w:color w:val="0000FF" w:themeColor="hyperlink"/>
            <w:u w:val="single"/>
            <w:lang w:val="en-US"/>
          </w:rPr>
          <w:t>P.2108</w:t>
        </w:r>
      </w:hyperlink>
      <w:r w:rsidRPr="00A51F26">
        <w:rPr>
          <w:rFonts w:asciiTheme="majorBidi" w:hAnsiTheme="majorBidi" w:cstheme="majorBidi"/>
          <w:bCs/>
          <w:lang w:val="en-US"/>
        </w:rPr>
        <w:t xml:space="preserve"> – Prediction of clutter loss</w:t>
      </w:r>
    </w:p>
    <w:p w14:paraId="30CD5713" w14:textId="6E8C0038" w:rsidR="00302F9C" w:rsidRPr="00A51F26" w:rsidRDefault="00302F9C" w:rsidP="00302F9C">
      <w:pPr>
        <w:pStyle w:val="enumlev1"/>
        <w:rPr>
          <w:lang w:val="en-US"/>
        </w:rPr>
      </w:pPr>
      <w:r w:rsidRPr="00A51F26">
        <w:rPr>
          <w:lang w:val="en-US"/>
        </w:rPr>
        <w:t>–</w:t>
      </w:r>
      <w:r w:rsidRPr="00A51F26">
        <w:rPr>
          <w:lang w:val="en-US"/>
        </w:rPr>
        <w:tab/>
      </w:r>
      <w:r w:rsidRPr="00A51F26">
        <w:rPr>
          <w:color w:val="0000FF" w:themeColor="hyperlink"/>
          <w:u w:val="single"/>
          <w:lang w:val="en-US"/>
        </w:rPr>
        <w:t xml:space="preserve">ITU-R </w:t>
      </w:r>
      <w:hyperlink r:id="rId17" w:history="1">
        <w:r w:rsidRPr="00A51F26">
          <w:rPr>
            <w:color w:val="0000FF" w:themeColor="hyperlink"/>
            <w:u w:val="single"/>
            <w:lang w:val="en-US"/>
          </w:rPr>
          <w:t>P.2</w:t>
        </w:r>
        <w:r w:rsidR="00D27A5D" w:rsidRPr="00A51F26">
          <w:rPr>
            <w:color w:val="0000FF" w:themeColor="hyperlink"/>
            <w:u w:val="single"/>
            <w:lang w:val="en-US"/>
          </w:rPr>
          <w:t>109</w:t>
        </w:r>
      </w:hyperlink>
      <w:r w:rsidRPr="00A51F26">
        <w:rPr>
          <w:lang w:val="en-US"/>
        </w:rPr>
        <w:t xml:space="preserve"> – </w:t>
      </w:r>
      <w:r w:rsidR="00381275" w:rsidRPr="00A51F26">
        <w:rPr>
          <w:lang w:val="en-US"/>
        </w:rPr>
        <w:t>Prediction of building entry loss</w:t>
      </w:r>
    </w:p>
    <w:p w14:paraId="3C35DFC3" w14:textId="77777777" w:rsidR="00AA1994" w:rsidRPr="00A51F26" w:rsidRDefault="00AA1994" w:rsidP="00AA1994">
      <w:pPr>
        <w:rPr>
          <w:highlight w:val="green"/>
          <w:lang w:val="en-US"/>
        </w:rPr>
      </w:pPr>
    </w:p>
    <w:p w14:paraId="1D4D6367" w14:textId="110EB154" w:rsidR="00783B1D" w:rsidRPr="00A51F26" w:rsidRDefault="00313D0C" w:rsidP="00AA1994">
      <w:pPr>
        <w:rPr>
          <w:lang w:val="en-US"/>
        </w:rPr>
      </w:pPr>
      <w:r w:rsidRPr="00A51F26">
        <w:rPr>
          <w:lang w:val="en-US"/>
        </w:rPr>
        <w:t xml:space="preserve">Recommendation </w:t>
      </w:r>
      <w:r w:rsidR="00427264" w:rsidRPr="00A51F26">
        <w:rPr>
          <w:lang w:val="en-US"/>
        </w:rPr>
        <w:t>ITU-R P.2001-4 was applied b</w:t>
      </w:r>
      <w:r w:rsidR="00783B1D" w:rsidRPr="00A51F26">
        <w:rPr>
          <w:lang w:val="en-US"/>
        </w:rPr>
        <w:t>ased on guidance from WP-3M</w:t>
      </w:r>
      <w:r w:rsidR="00427264" w:rsidRPr="00A51F26">
        <w:rPr>
          <w:lang w:val="en-US"/>
        </w:rPr>
        <w:t xml:space="preserve"> (document </w:t>
      </w:r>
      <w:r w:rsidR="00783B1D" w:rsidRPr="00A51F26">
        <w:rPr>
          <w:lang w:val="en-US"/>
        </w:rPr>
        <w:t>5D/160</w:t>
      </w:r>
      <w:r w:rsidR="00427264" w:rsidRPr="00A51F26">
        <w:rPr>
          <w:lang w:val="en-US"/>
        </w:rPr>
        <w:t>)</w:t>
      </w:r>
      <w:r w:rsidR="00783B1D" w:rsidRPr="00A51F26">
        <w:rPr>
          <w:lang w:val="en-US"/>
        </w:rPr>
        <w:t xml:space="preserve"> for the terrestrial path propagation loss between IMT </w:t>
      </w:r>
      <w:r w:rsidR="00427264" w:rsidRPr="00A51F26">
        <w:rPr>
          <w:lang w:val="en-US"/>
        </w:rPr>
        <w:t xml:space="preserve">and the </w:t>
      </w:r>
      <w:r w:rsidR="00851D85">
        <w:rPr>
          <w:lang w:val="en-US"/>
        </w:rPr>
        <w:t>FS</w:t>
      </w:r>
      <w:r w:rsidR="003A4B4A" w:rsidRPr="00A51F26">
        <w:rPr>
          <w:lang w:val="en-US"/>
        </w:rPr>
        <w:t xml:space="preserve"> station</w:t>
      </w:r>
      <w:r w:rsidR="00783B1D" w:rsidRPr="00A51F26">
        <w:rPr>
          <w:lang w:val="en-US"/>
        </w:rPr>
        <w:t xml:space="preserve">. </w:t>
      </w:r>
      <w:r w:rsidR="00B73FDC" w:rsidRPr="00A51F26">
        <w:rPr>
          <w:lang w:val="en-US"/>
        </w:rPr>
        <w:t xml:space="preserve">As noted by WP-3M, </w:t>
      </w:r>
      <w:r w:rsidRPr="00A51F26">
        <w:rPr>
          <w:lang w:val="en-US"/>
        </w:rPr>
        <w:t>Recommendation ITU-R P.2001</w:t>
      </w:r>
      <w:r w:rsidR="00B73FDC" w:rsidRPr="00A51F26">
        <w:rPr>
          <w:lang w:val="en-US"/>
        </w:rPr>
        <w:t xml:space="preserve"> </w:t>
      </w:r>
      <w:r w:rsidRPr="00A51F26">
        <w:rPr>
          <w:lang w:val="en-US"/>
        </w:rPr>
        <w:t>“</w:t>
      </w:r>
      <w:r w:rsidR="00B73FDC" w:rsidRPr="00A51F26">
        <w:rPr>
          <w:lang w:val="en-US"/>
        </w:rPr>
        <w:t>has the benefit of providing a full-time percentage range of 0 to 100% and is useful where Monte Carlo analysis is to be used.”</w:t>
      </w:r>
      <w:r w:rsidR="00BB6A87" w:rsidRPr="00A51F26">
        <w:rPr>
          <w:lang w:val="en-US"/>
        </w:rPr>
        <w:t xml:space="preserve"> </w:t>
      </w:r>
    </w:p>
    <w:p w14:paraId="24CB5B28" w14:textId="2E35A025" w:rsidR="00783B1D" w:rsidRPr="00A51F26" w:rsidRDefault="00783B1D" w:rsidP="00AA1994">
      <w:pPr>
        <w:rPr>
          <w:lang w:val="en-US"/>
        </w:rPr>
      </w:pPr>
      <w:r w:rsidRPr="00A51F26">
        <w:rPr>
          <w:lang w:val="en-US"/>
        </w:rPr>
        <w:t xml:space="preserve">Recommendation ITU-R P.2108-1 </w:t>
      </w:r>
      <w:r w:rsidR="00AC5F49" w:rsidRPr="00A51F26">
        <w:rPr>
          <w:lang w:val="en-US"/>
        </w:rPr>
        <w:t xml:space="preserve">was used to determine clutter loss </w:t>
      </w:r>
      <w:r w:rsidR="00D11334" w:rsidRPr="00A51F26">
        <w:rPr>
          <w:lang w:val="en-US"/>
        </w:rPr>
        <w:t>as an end point correction model</w:t>
      </w:r>
      <w:r w:rsidR="00E24D73" w:rsidRPr="00A51F26">
        <w:rPr>
          <w:lang w:val="en-US"/>
        </w:rPr>
        <w:t xml:space="preserve">. It was assumed that </w:t>
      </w:r>
      <w:r w:rsidRPr="00A51F26">
        <w:rPr>
          <w:lang w:val="en-US"/>
        </w:rPr>
        <w:t>using a uniformly distributed random percentage between 0% and 100% of locations.</w:t>
      </w:r>
      <w:r w:rsidR="000D28DE" w:rsidRPr="00A51F26">
        <w:rPr>
          <w:lang w:val="en-US"/>
        </w:rPr>
        <w:t xml:space="preserve">  </w:t>
      </w:r>
      <w:r w:rsidR="007B7002">
        <w:rPr>
          <w:lang w:val="en-US"/>
        </w:rPr>
        <w:t>T</w:t>
      </w:r>
      <w:r w:rsidR="000D28DE" w:rsidRPr="00A51F26">
        <w:rPr>
          <w:lang w:val="en-US"/>
        </w:rPr>
        <w:t xml:space="preserve">he base station </w:t>
      </w:r>
      <w:r w:rsidR="00B90F9A">
        <w:rPr>
          <w:lang w:val="en-US"/>
        </w:rPr>
        <w:t xml:space="preserve">and UE are </w:t>
      </w:r>
      <w:r w:rsidR="000D28DE" w:rsidRPr="00A51F26">
        <w:rPr>
          <w:lang w:val="en-US"/>
        </w:rPr>
        <w:t>assumed to be in clutter</w:t>
      </w:r>
      <w:r w:rsidR="007B7002">
        <w:rPr>
          <w:lang w:val="en-US"/>
        </w:rPr>
        <w:t xml:space="preserve"> in all </w:t>
      </w:r>
      <w:r w:rsidR="000D28DE" w:rsidRPr="00A51F26">
        <w:rPr>
          <w:lang w:val="en-US"/>
        </w:rPr>
        <w:t xml:space="preserve">cases. </w:t>
      </w:r>
      <w:r w:rsidR="00B90F9A">
        <w:rPr>
          <w:lang w:val="en-US"/>
        </w:rPr>
        <w:t xml:space="preserve">The FS </w:t>
      </w:r>
      <w:r w:rsidR="00B261FF">
        <w:rPr>
          <w:lang w:val="en-US"/>
        </w:rPr>
        <w:t xml:space="preserve">station </w:t>
      </w:r>
      <w:r w:rsidR="00B90F9A">
        <w:rPr>
          <w:lang w:val="en-US"/>
        </w:rPr>
        <w:t xml:space="preserve">is assumed to not experience clutter losses. </w:t>
      </w:r>
    </w:p>
    <w:p w14:paraId="2874C667" w14:textId="13D37E60" w:rsidR="00783B1D" w:rsidRPr="00A51F26" w:rsidRDefault="00425AF4" w:rsidP="00AC1093">
      <w:pPr>
        <w:rPr>
          <w:lang w:val="en-US"/>
        </w:rPr>
      </w:pPr>
      <w:r w:rsidRPr="00A51F26">
        <w:rPr>
          <w:lang w:val="en-US"/>
        </w:rPr>
        <w:t xml:space="preserve">Recommendation ITU-R P.2109-2 was used to determine </w:t>
      </w:r>
      <w:r w:rsidR="00BC2C96" w:rsidRPr="00A51F26">
        <w:rPr>
          <w:lang w:val="en-US"/>
        </w:rPr>
        <w:t>the building entry losses for the UE uplink path</w:t>
      </w:r>
      <w:r w:rsidR="000D28DE" w:rsidRPr="00A51F26">
        <w:rPr>
          <w:lang w:val="en-US"/>
        </w:rPr>
        <w:t xml:space="preserve"> (</w:t>
      </w:r>
      <w:r w:rsidR="00B46FA4" w:rsidRPr="00A51F26">
        <w:rPr>
          <w:lang w:val="en-US"/>
        </w:rPr>
        <w:t xml:space="preserve">70% traditional, 30% </w:t>
      </w:r>
      <w:r w:rsidR="000D28DE" w:rsidRPr="00A51F26">
        <w:rPr>
          <w:lang w:val="en-US"/>
        </w:rPr>
        <w:t>thermally efficient building)</w:t>
      </w:r>
      <w:r w:rsidRPr="00A51F26">
        <w:rPr>
          <w:lang w:val="en-US"/>
        </w:rPr>
        <w:t>. It was assumed that using a uniform</w:t>
      </w:r>
      <w:r w:rsidR="009B21DA" w:rsidRPr="00A51F26">
        <w:rPr>
          <w:lang w:val="en-US"/>
        </w:rPr>
        <w:t xml:space="preserve"> random distribution of percentages </w:t>
      </w:r>
      <w:r w:rsidRPr="00A51F26">
        <w:rPr>
          <w:lang w:val="en-US"/>
        </w:rPr>
        <w:t>between 0% and 100%</w:t>
      </w:r>
      <w:r w:rsidR="004370D2" w:rsidRPr="00A51F26">
        <w:rPr>
          <w:lang w:val="en-US"/>
        </w:rPr>
        <w:t>. The</w:t>
      </w:r>
      <w:r w:rsidR="00A42DED" w:rsidRPr="00A51F26">
        <w:rPr>
          <w:lang w:val="en-US"/>
        </w:rPr>
        <w:t xml:space="preserve"> elevation angle of the link</w:t>
      </w:r>
      <w:r w:rsidR="005611B7" w:rsidRPr="00A51F26">
        <w:rPr>
          <w:lang w:val="en-US"/>
        </w:rPr>
        <w:t xml:space="preserve"> is</w:t>
      </w:r>
      <w:r w:rsidR="00A42DED" w:rsidRPr="00A51F26">
        <w:rPr>
          <w:lang w:val="en-US"/>
        </w:rPr>
        <w:t xml:space="preserve"> calculated </w:t>
      </w:r>
      <w:r w:rsidR="004370D2" w:rsidRPr="00A51F26">
        <w:rPr>
          <w:lang w:val="en-US"/>
        </w:rPr>
        <w:t xml:space="preserve">for each UE and BS combination. </w:t>
      </w:r>
    </w:p>
    <w:p w14:paraId="22EC3217" w14:textId="6F76A611" w:rsidR="00783B1D" w:rsidRPr="00A51F26" w:rsidRDefault="00783B1D" w:rsidP="00783B1D">
      <w:pPr>
        <w:keepNext/>
        <w:keepLines/>
        <w:spacing w:before="200"/>
        <w:ind w:left="1134" w:hanging="1134"/>
        <w:outlineLvl w:val="2"/>
        <w:rPr>
          <w:b/>
          <w:lang w:val="en-US" w:eastAsia="zh-CN"/>
        </w:rPr>
      </w:pPr>
      <w:r w:rsidRPr="00A51F26">
        <w:rPr>
          <w:b/>
          <w:lang w:val="en-US"/>
        </w:rPr>
        <w:t>A</w:t>
      </w:r>
      <w:r w:rsidR="004B1299">
        <w:rPr>
          <w:b/>
          <w:lang w:val="en-US"/>
        </w:rPr>
        <w:t>1.1.4.3</w:t>
      </w:r>
      <w:r w:rsidRPr="00A51F26">
        <w:rPr>
          <w:b/>
          <w:lang w:val="en-US" w:eastAsia="ja-JP"/>
        </w:rPr>
        <w:tab/>
      </w:r>
      <w:r w:rsidRPr="00A51F26">
        <w:rPr>
          <w:b/>
          <w:lang w:val="en-US" w:eastAsia="zh-CN"/>
        </w:rPr>
        <w:t>Methodology</w:t>
      </w:r>
    </w:p>
    <w:p w14:paraId="2275B5B0" w14:textId="3DCA71E6" w:rsidR="00724EB2" w:rsidRPr="00A51F26" w:rsidRDefault="00783B1D" w:rsidP="00474340">
      <w:pPr>
        <w:jc w:val="both"/>
        <w:rPr>
          <w:lang w:val="en-US"/>
        </w:rPr>
      </w:pPr>
      <w:r w:rsidRPr="00A51F26">
        <w:rPr>
          <w:lang w:val="en-US"/>
        </w:rPr>
        <w:t xml:space="preserve">Using the IMT parameters outlined above, the IMT network </w:t>
      </w:r>
      <w:r w:rsidR="00B46FA4" w:rsidRPr="00A51F26">
        <w:rPr>
          <w:lang w:val="en-US"/>
        </w:rPr>
        <w:t xml:space="preserve">consisting of 19 cell sites </w:t>
      </w:r>
      <w:r w:rsidRPr="00A51F26">
        <w:rPr>
          <w:lang w:val="en-US"/>
        </w:rPr>
        <w:t>was created</w:t>
      </w:r>
      <w:r w:rsidR="004167D0" w:rsidRPr="00A51F26">
        <w:rPr>
          <w:lang w:val="en-US"/>
        </w:rPr>
        <w:t xml:space="preserve"> with BSs and UEs</w:t>
      </w:r>
      <w:r w:rsidR="00785878" w:rsidRPr="00A51F26">
        <w:rPr>
          <w:lang w:val="en-US"/>
        </w:rPr>
        <w:t>, operating at the border, in Country A</w:t>
      </w:r>
      <w:r w:rsidR="004167D0" w:rsidRPr="00A51F26">
        <w:rPr>
          <w:lang w:val="en-US"/>
        </w:rPr>
        <w:t>.</w:t>
      </w:r>
      <w:r w:rsidRPr="00A51F26">
        <w:rPr>
          <w:lang w:val="en-US"/>
        </w:rPr>
        <w:t xml:space="preserve"> </w:t>
      </w:r>
      <w:r w:rsidR="007910F1" w:rsidRPr="00A51F26">
        <w:rPr>
          <w:lang w:val="en-US"/>
        </w:rPr>
        <w:t xml:space="preserve">For downlink interference, </w:t>
      </w:r>
      <w:r w:rsidR="004C329C" w:rsidRPr="00A51F26">
        <w:rPr>
          <w:lang w:val="en-US"/>
        </w:rPr>
        <w:t>the active sectors are randomly selected</w:t>
      </w:r>
      <w:r w:rsidR="00F531CF" w:rsidRPr="00A51F26">
        <w:rPr>
          <w:lang w:val="en-US"/>
        </w:rPr>
        <w:t xml:space="preserve">. </w:t>
      </w:r>
      <w:r w:rsidR="00193B23" w:rsidRPr="00A51F26">
        <w:rPr>
          <w:lang w:val="en-US"/>
        </w:rPr>
        <w:t xml:space="preserve">In each </w:t>
      </w:r>
      <w:r w:rsidR="00492323" w:rsidRPr="00A51F26">
        <w:rPr>
          <w:lang w:val="en-US"/>
        </w:rPr>
        <w:t xml:space="preserve">sector, there </w:t>
      </w:r>
      <w:r w:rsidR="000D2B68" w:rsidRPr="00A51F26">
        <w:rPr>
          <w:lang w:val="en-US"/>
        </w:rPr>
        <w:t>were</w:t>
      </w:r>
      <w:r w:rsidR="00492323" w:rsidRPr="00A51F26">
        <w:rPr>
          <w:lang w:val="en-US"/>
        </w:rPr>
        <w:t xml:space="preserve"> </w:t>
      </w:r>
      <w:r w:rsidR="00D3524D" w:rsidRPr="00A51F26">
        <w:rPr>
          <w:lang w:val="en-US"/>
        </w:rPr>
        <w:t>100</w:t>
      </w:r>
      <w:r w:rsidR="00492323" w:rsidRPr="00A51F26">
        <w:rPr>
          <w:lang w:val="en-US"/>
        </w:rPr>
        <w:t xml:space="preserve"> UEs placed randomly with a minimum distance of 35 meters from the base</w:t>
      </w:r>
      <w:r w:rsidR="00B83AB1" w:rsidRPr="00A51F26">
        <w:rPr>
          <w:lang w:val="en-US"/>
        </w:rPr>
        <w:t xml:space="preserve"> station. </w:t>
      </w:r>
      <w:r w:rsidR="001D6585" w:rsidRPr="00A51F26">
        <w:rPr>
          <w:lang w:val="en-US"/>
        </w:rPr>
        <w:t xml:space="preserve">At each sample, three randomly selected UEs </w:t>
      </w:r>
      <w:r w:rsidR="00392EB7" w:rsidRPr="00A51F26">
        <w:rPr>
          <w:lang w:val="en-US"/>
        </w:rPr>
        <w:t>were</w:t>
      </w:r>
      <w:r w:rsidR="001D6585" w:rsidRPr="00A51F26">
        <w:rPr>
          <w:lang w:val="en-US"/>
        </w:rPr>
        <w:t xml:space="preserve"> chosen from </w:t>
      </w:r>
      <w:r w:rsidR="001D6585" w:rsidRPr="00A51F26">
        <w:rPr>
          <w:lang w:val="en-US"/>
        </w:rPr>
        <w:lastRenderedPageBreak/>
        <w:t xml:space="preserve">the </w:t>
      </w:r>
      <w:r w:rsidR="00223B1B" w:rsidRPr="00A51F26">
        <w:rPr>
          <w:lang w:val="en-US"/>
        </w:rPr>
        <w:t>100</w:t>
      </w:r>
      <w:r w:rsidR="0056678C" w:rsidRPr="00A51F26">
        <w:rPr>
          <w:lang w:val="en-US"/>
        </w:rPr>
        <w:t xml:space="preserve"> to orient the base station beam pointing. </w:t>
      </w:r>
      <w:r w:rsidR="00041DC9" w:rsidRPr="00A51F26">
        <w:rPr>
          <w:lang w:val="en-US"/>
        </w:rPr>
        <w:t xml:space="preserve">For </w:t>
      </w:r>
      <w:r w:rsidR="00A67DB5" w:rsidRPr="00A51F26">
        <w:rPr>
          <w:lang w:val="en-US"/>
        </w:rPr>
        <w:t xml:space="preserve">uplink interference, three UEs are randomly selected from the </w:t>
      </w:r>
      <w:r w:rsidR="00E778B2" w:rsidRPr="00A51F26">
        <w:rPr>
          <w:lang w:val="en-US"/>
        </w:rPr>
        <w:t xml:space="preserve">within randomly selected </w:t>
      </w:r>
      <w:r w:rsidR="00DD150C" w:rsidRPr="00A51F26">
        <w:rPr>
          <w:lang w:val="en-US"/>
        </w:rPr>
        <w:t>sectors</w:t>
      </w:r>
      <w:r w:rsidR="007B33AE" w:rsidRPr="00A51F26">
        <w:rPr>
          <w:lang w:val="en-US"/>
        </w:rPr>
        <w:t xml:space="preserve"> based on the activity factors defined above. </w:t>
      </w:r>
    </w:p>
    <w:p w14:paraId="65B6688A" w14:textId="057CAA83" w:rsidR="00EC1CC9" w:rsidRDefault="00BC34A7" w:rsidP="00474340">
      <w:pPr>
        <w:jc w:val="both"/>
        <w:rPr>
          <w:lang w:val="en-US"/>
        </w:rPr>
      </w:pPr>
      <w:r>
        <w:rPr>
          <w:lang w:val="en-US"/>
        </w:rPr>
        <w:t>An</w:t>
      </w:r>
      <w:r w:rsidR="000A1699" w:rsidRPr="00A51F26">
        <w:rPr>
          <w:lang w:val="en-US"/>
        </w:rPr>
        <w:t xml:space="preserve"> </w:t>
      </w:r>
      <w:r w:rsidR="00DD6F32">
        <w:rPr>
          <w:lang w:val="en-US"/>
        </w:rPr>
        <w:t xml:space="preserve">FS station is operating </w:t>
      </w:r>
      <w:r w:rsidR="00785878" w:rsidRPr="00A51F26">
        <w:rPr>
          <w:lang w:val="en-US"/>
        </w:rPr>
        <w:t>in Country B,</w:t>
      </w:r>
      <w:r w:rsidR="00783B1D" w:rsidRPr="00A51F26">
        <w:rPr>
          <w:lang w:val="en-US"/>
        </w:rPr>
        <w:t xml:space="preserve"> with </w:t>
      </w:r>
      <w:r w:rsidR="003956B4" w:rsidRPr="00A51F26">
        <w:rPr>
          <w:lang w:val="en-US"/>
        </w:rPr>
        <w:t>antenna</w:t>
      </w:r>
      <w:r w:rsidR="000B4671" w:rsidRPr="00A51F26">
        <w:rPr>
          <w:lang w:val="en-US"/>
        </w:rPr>
        <w:t xml:space="preserve"> </w:t>
      </w:r>
      <w:r w:rsidR="00783B1D" w:rsidRPr="00A51F26">
        <w:rPr>
          <w:lang w:val="en-US"/>
        </w:rPr>
        <w:t xml:space="preserve">characteristics outlined </w:t>
      </w:r>
      <w:r>
        <w:rPr>
          <w:lang w:val="en-US"/>
        </w:rPr>
        <w:t>above</w:t>
      </w:r>
      <w:r w:rsidR="00783B1D" w:rsidRPr="00A51F26">
        <w:rPr>
          <w:lang w:val="en-US"/>
        </w:rPr>
        <w:t xml:space="preserve"> </w:t>
      </w:r>
      <w:r w:rsidR="000B4671" w:rsidRPr="00A51F26">
        <w:rPr>
          <w:lang w:val="en-US"/>
        </w:rPr>
        <w:t>was</w:t>
      </w:r>
      <w:r w:rsidR="00783B1D" w:rsidRPr="00A51F26">
        <w:rPr>
          <w:lang w:val="en-US"/>
        </w:rPr>
        <w:t xml:space="preserve"> </w:t>
      </w:r>
      <w:r w:rsidR="0083644E" w:rsidRPr="00A51F26">
        <w:rPr>
          <w:lang w:val="en-US"/>
        </w:rPr>
        <w:t>configured</w:t>
      </w:r>
      <w:r w:rsidR="00401800" w:rsidRPr="00A51F26">
        <w:rPr>
          <w:lang w:val="en-US"/>
        </w:rPr>
        <w:t xml:space="preserve"> to consider </w:t>
      </w:r>
      <w:r w:rsidR="004B0F83">
        <w:rPr>
          <w:lang w:val="en-US"/>
        </w:rPr>
        <w:t xml:space="preserve">two </w:t>
      </w:r>
      <w:r w:rsidR="00401800" w:rsidRPr="00A51F26">
        <w:rPr>
          <w:lang w:val="en-US"/>
        </w:rPr>
        <w:t xml:space="preserve">different antenna beam coupling </w:t>
      </w:r>
      <w:r w:rsidR="00A8144E" w:rsidRPr="00A51F26">
        <w:rPr>
          <w:lang w:val="en-US"/>
        </w:rPr>
        <w:t>toward the IMT network</w:t>
      </w:r>
      <w:r w:rsidR="004B0F83">
        <w:rPr>
          <w:lang w:val="en-US"/>
        </w:rPr>
        <w:t>, mainlobe and backlobe</w:t>
      </w:r>
      <w:r w:rsidR="0021716C" w:rsidRPr="00A51F26">
        <w:rPr>
          <w:lang w:val="en-US"/>
        </w:rPr>
        <w:t>.</w:t>
      </w:r>
      <w:r w:rsidR="00BB146D" w:rsidRPr="00A51F26">
        <w:rPr>
          <w:lang w:val="en-US"/>
        </w:rPr>
        <w:t xml:space="preserve"> </w:t>
      </w:r>
      <w:r w:rsidR="00EC1CC9" w:rsidRPr="00A51F26">
        <w:rPr>
          <w:lang w:val="en-US"/>
        </w:rPr>
        <w:t xml:space="preserve">The configurations are visualized in Figure </w:t>
      </w:r>
      <w:r w:rsidR="00EC1CC9">
        <w:rPr>
          <w:lang w:val="en-US"/>
        </w:rPr>
        <w:t>1</w:t>
      </w:r>
      <w:r w:rsidR="00206644">
        <w:rPr>
          <w:lang w:val="en-US"/>
        </w:rPr>
        <w:t xml:space="preserve"> where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back</m:t>
            </m:r>
          </m:sub>
        </m:sSub>
      </m:oMath>
      <w:r w:rsidR="00206644">
        <w:rPr>
          <w:lang w:val="en-US"/>
        </w:rPr>
        <w:t xml:space="preserve"> and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front</m:t>
            </m:r>
          </m:sub>
        </m:sSub>
      </m:oMath>
      <w:r w:rsidR="00206644">
        <w:rPr>
          <w:lang w:val="en-US"/>
        </w:rPr>
        <w:t xml:space="preserve"> are the </w:t>
      </w:r>
      <w:r w:rsidR="000E34E9">
        <w:rPr>
          <w:lang w:val="en-US"/>
        </w:rPr>
        <w:t>calculated distances necessary to meet the FS station protection criteria list in Table 1 above</w:t>
      </w:r>
      <w:r w:rsidR="00EC1CC9">
        <w:rPr>
          <w:lang w:val="en-US"/>
        </w:rPr>
        <w:t xml:space="preserve">. </w:t>
      </w:r>
    </w:p>
    <w:p w14:paraId="7B5298CC" w14:textId="01E57C0F" w:rsidR="00EC1CC9" w:rsidRPr="00A51F26" w:rsidRDefault="00EC1CC9" w:rsidP="00EC1CC9">
      <w:pPr>
        <w:pStyle w:val="FigureNo"/>
        <w:rPr>
          <w:lang w:val="en-US" w:eastAsia="zh-CN"/>
        </w:rPr>
      </w:pPr>
      <w:r w:rsidRPr="00A51F26">
        <w:rPr>
          <w:lang w:val="en-US" w:eastAsia="zh-CN"/>
        </w:rPr>
        <w:t xml:space="preserve">Figure </w:t>
      </w:r>
      <w:r>
        <w:rPr>
          <w:lang w:val="en-US" w:eastAsia="zh-CN"/>
        </w:rPr>
        <w:t>1</w:t>
      </w:r>
    </w:p>
    <w:p w14:paraId="2ABCCE79" w14:textId="77777777" w:rsidR="00EC1CC9" w:rsidRPr="00A51F26" w:rsidRDefault="00EC1CC9" w:rsidP="00EC1CC9">
      <w:pPr>
        <w:pStyle w:val="Figuretitle"/>
        <w:rPr>
          <w:lang w:val="en-US" w:eastAsia="zh-CN"/>
        </w:rPr>
      </w:pPr>
      <w:r w:rsidRPr="00A51F26">
        <w:rPr>
          <w:lang w:val="en-US" w:eastAsia="zh-CN"/>
        </w:rPr>
        <w:t>Topology relation between the IMT network and the FS</w:t>
      </w:r>
      <w:r>
        <w:rPr>
          <w:lang w:val="en-US" w:eastAsia="zh-CN"/>
        </w:rPr>
        <w:t xml:space="preserve"> </w:t>
      </w:r>
      <w:r w:rsidRPr="00A51F26">
        <w:rPr>
          <w:lang w:val="en-US" w:eastAsia="zh-CN"/>
        </w:rPr>
        <w:t>station</w:t>
      </w:r>
    </w:p>
    <w:p w14:paraId="2849B985" w14:textId="3DC37E46" w:rsidR="00EC1CC9" w:rsidRPr="00A51F26" w:rsidRDefault="00157DAE" w:rsidP="00EC1CC9">
      <w:pPr>
        <w:jc w:val="center"/>
        <w:rPr>
          <w:lang w:val="en-US"/>
        </w:rPr>
      </w:pPr>
      <w:r w:rsidRPr="00157DAE">
        <w:rPr>
          <w:noProof/>
        </w:rPr>
        <w:drawing>
          <wp:inline distT="0" distB="0" distL="0" distR="0" wp14:anchorId="0FD02477" wp14:editId="4C1370C7">
            <wp:extent cx="4514850" cy="1429012"/>
            <wp:effectExtent l="0" t="0" r="0" b="0"/>
            <wp:docPr id="1116491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91117" name=""/>
                    <pic:cNvPicPr/>
                  </pic:nvPicPr>
                  <pic:blipFill>
                    <a:blip r:embed="rId18"/>
                    <a:stretch>
                      <a:fillRect/>
                    </a:stretch>
                  </pic:blipFill>
                  <pic:spPr>
                    <a:xfrm>
                      <a:off x="0" y="0"/>
                      <a:ext cx="4553339" cy="1441194"/>
                    </a:xfrm>
                    <a:prstGeom prst="rect">
                      <a:avLst/>
                    </a:prstGeom>
                  </pic:spPr>
                </pic:pic>
              </a:graphicData>
            </a:graphic>
          </wp:inline>
        </w:drawing>
      </w:r>
    </w:p>
    <w:p w14:paraId="19580F39" w14:textId="77777777" w:rsidR="008830C4" w:rsidRDefault="008830C4" w:rsidP="008830C4">
      <w:pPr>
        <w:pStyle w:val="enumlev1"/>
        <w:rPr>
          <w:lang w:eastAsia="ja-JP"/>
        </w:rPr>
      </w:pPr>
    </w:p>
    <w:p w14:paraId="16F98C82" w14:textId="0ED7E374" w:rsidR="008830C4" w:rsidRDefault="008830C4" w:rsidP="00C11F5B">
      <w:pPr>
        <w:pStyle w:val="enumlev1"/>
        <w:tabs>
          <w:tab w:val="clear" w:pos="1134"/>
        </w:tabs>
        <w:ind w:left="0" w:firstLine="0"/>
        <w:rPr>
          <w:lang w:eastAsia="zh-CN"/>
        </w:rPr>
      </w:pPr>
      <w:r w:rsidRPr="00D01EDA">
        <w:rPr>
          <w:lang w:eastAsia="ja-JP"/>
        </w:rPr>
        <w:t xml:space="preserve">The equation for </w:t>
      </w:r>
      <w:r w:rsidRPr="00D01EDA">
        <w:rPr>
          <w:lang w:eastAsia="zh-CN"/>
        </w:rPr>
        <w:t>interference power densit</w:t>
      </w:r>
      <w:r w:rsidR="0043600B">
        <w:rPr>
          <w:lang w:eastAsia="zh-CN"/>
        </w:rPr>
        <w:t xml:space="preserve">y </w:t>
      </w:r>
      <m:oMath>
        <m:r>
          <w:rPr>
            <w:rFonts w:ascii="Cambria Math" w:hAnsi="Cambria Math"/>
            <w:lang w:eastAsia="zh-CN"/>
          </w:rPr>
          <m:t>I</m:t>
        </m:r>
      </m:oMath>
      <w:r w:rsidR="0043600B">
        <w:rPr>
          <w:lang w:eastAsia="zh-CN"/>
        </w:rPr>
        <w:t xml:space="preserve"> </w:t>
      </w:r>
      <w:r w:rsidR="00C11F5B">
        <w:rPr>
          <w:lang w:eastAsia="zh-CN"/>
        </w:rPr>
        <w:t xml:space="preserve">(dBW/MHz) </w:t>
      </w:r>
      <w:r w:rsidRPr="00D01EDA">
        <w:rPr>
          <w:lang w:eastAsia="zh-CN"/>
        </w:rPr>
        <w:t xml:space="preserve">from each </w:t>
      </w:r>
      <w:r w:rsidRPr="00D01EDA">
        <w:rPr>
          <w:lang w:eastAsia="ja-JP"/>
        </w:rPr>
        <w:t xml:space="preserve">IMT </w:t>
      </w:r>
      <w:r w:rsidRPr="00D01EDA">
        <w:rPr>
          <w:lang w:eastAsia="zh-CN"/>
        </w:rPr>
        <w:t>BS</w:t>
      </w:r>
      <w:r w:rsidRPr="00D01EDA">
        <w:rPr>
          <w:lang w:eastAsia="ja-JP"/>
        </w:rPr>
        <w:t xml:space="preserve"> sector</w:t>
      </w:r>
      <w:r>
        <w:rPr>
          <w:rFonts w:hint="eastAsia"/>
          <w:lang w:eastAsia="ja-JP"/>
        </w:rPr>
        <w:t xml:space="preserve"> or UE</w:t>
      </w:r>
      <w:r w:rsidRPr="00D01EDA">
        <w:rPr>
          <w:lang w:eastAsia="ja-JP"/>
        </w:rPr>
        <w:t xml:space="preserve"> is </w:t>
      </w:r>
      <w:r w:rsidRPr="00D01EDA">
        <w:rPr>
          <w:lang w:eastAsia="zh-CN"/>
        </w:rPr>
        <w:t>as</w:t>
      </w:r>
      <w:r w:rsidR="00C11F5B">
        <w:rPr>
          <w:lang w:eastAsia="ja-JP"/>
        </w:rPr>
        <w:t xml:space="preserve"> </w:t>
      </w:r>
      <w:r w:rsidRPr="00D01EDA">
        <w:rPr>
          <w:lang w:eastAsia="ja-JP"/>
        </w:rPr>
        <w:t>follows</w:t>
      </w:r>
      <w:r w:rsidRPr="00D01EDA">
        <w:rPr>
          <w:lang w:eastAsia="zh-CN"/>
        </w:rPr>
        <w:t>:</w:t>
      </w:r>
    </w:p>
    <w:p w14:paraId="782E4BF5" w14:textId="649D5894" w:rsidR="00550460" w:rsidRPr="00D01EDA" w:rsidRDefault="00550460" w:rsidP="008830C4">
      <w:pPr>
        <w:pStyle w:val="enumlev1"/>
        <w:rPr>
          <w:lang w:eastAsia="ja-JP"/>
        </w:rPr>
      </w:pPr>
      <m:oMathPara>
        <m:oMath>
          <m:r>
            <w:rPr>
              <w:rFonts w:ascii="Cambria Math" w:hAnsi="Cambria Math"/>
              <w:lang w:eastAsia="ja-JP"/>
            </w:rPr>
            <m:t>I=</m:t>
          </m:r>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IMT</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G</m:t>
              </m:r>
            </m:e>
            <m:sub>
              <m:r>
                <w:rPr>
                  <w:rFonts w:ascii="Cambria Math" w:hAnsi="Cambria Math"/>
                  <w:lang w:eastAsia="ja-JP"/>
                </w:rPr>
                <m:t>IMT</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pr</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cl</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G</m:t>
              </m:r>
            </m:e>
            <m:sub>
              <m:r>
                <w:rPr>
                  <w:rFonts w:ascii="Cambria Math" w:hAnsi="Cambria Math"/>
                  <w:lang w:eastAsia="ja-JP"/>
                </w:rPr>
                <m:t>FS</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fl</m:t>
              </m:r>
            </m:sub>
          </m:sSub>
        </m:oMath>
      </m:oMathPara>
    </w:p>
    <w:p w14:paraId="7687521A" w14:textId="77777777" w:rsidR="008830C4" w:rsidRPr="00D01EDA" w:rsidRDefault="008830C4" w:rsidP="008830C4">
      <w:r w:rsidRPr="00D01EDA">
        <w:t>where:</w:t>
      </w:r>
    </w:p>
    <w:p w14:paraId="4065B68B" w14:textId="318EF485" w:rsidR="008830C4" w:rsidRPr="00D01EDA" w:rsidRDefault="008830C4" w:rsidP="008830C4">
      <w:pPr>
        <w:pStyle w:val="Equationlegend"/>
        <w:tabs>
          <w:tab w:val="left" w:pos="1134"/>
          <w:tab w:val="left" w:pos="2268"/>
        </w:tabs>
        <w:rPr>
          <w:lang w:eastAsia="zh-CN"/>
        </w:rPr>
      </w:pPr>
      <w:r w:rsidRPr="00D01EDA">
        <w:rPr>
          <w:i/>
          <w:iCs/>
        </w:rPr>
        <w:tab/>
      </w:r>
      <m:oMath>
        <m:sSub>
          <m:sSubPr>
            <m:ctrlPr>
              <w:rPr>
                <w:rFonts w:ascii="Cambria Math" w:hAnsi="Cambria Math"/>
                <w:i/>
                <w:iCs/>
              </w:rPr>
            </m:ctrlPr>
          </m:sSubPr>
          <m:e>
            <m:r>
              <w:rPr>
                <w:rFonts w:ascii="Cambria Math" w:hAnsi="Cambria Math"/>
              </w:rPr>
              <m:t>P</m:t>
            </m:r>
          </m:e>
          <m:sub>
            <m:r>
              <w:rPr>
                <w:rFonts w:ascii="Cambria Math" w:hAnsi="Cambria Math"/>
              </w:rPr>
              <m:t>IMT</m:t>
            </m:r>
          </m:sub>
        </m:sSub>
      </m:oMath>
      <w:r w:rsidR="009801BB">
        <w:rPr>
          <w:lang w:eastAsia="ja-JP"/>
        </w:rPr>
        <w:t>: t</w:t>
      </w:r>
      <w:r w:rsidRPr="00D01EDA">
        <w:rPr>
          <w:lang w:eastAsia="ja-JP"/>
        </w:rPr>
        <w:t>r</w:t>
      </w:r>
      <w:r w:rsidRPr="00D01EDA">
        <w:t xml:space="preserve">ansmit power </w:t>
      </w:r>
      <w:r w:rsidRPr="00D01EDA">
        <w:rPr>
          <w:rFonts w:eastAsia="SimSun"/>
          <w:lang w:eastAsia="zh-CN"/>
        </w:rPr>
        <w:t>of a</w:t>
      </w:r>
      <w:r>
        <w:rPr>
          <w:rFonts w:hint="eastAsia"/>
          <w:lang w:eastAsia="ja-JP"/>
        </w:rPr>
        <w:t>n</w:t>
      </w:r>
      <w:r w:rsidRPr="00D01EDA">
        <w:rPr>
          <w:rFonts w:eastAsia="SimSun"/>
          <w:lang w:eastAsia="zh-CN"/>
        </w:rPr>
        <w:t xml:space="preserve"> </w:t>
      </w:r>
      <w:r>
        <w:rPr>
          <w:rFonts w:hint="eastAsia"/>
          <w:lang w:eastAsia="ja-JP"/>
        </w:rPr>
        <w:t xml:space="preserve">IMT </w:t>
      </w:r>
      <w:r w:rsidRPr="00D01EDA">
        <w:t>BS</w:t>
      </w:r>
      <w:r w:rsidRPr="00D01EDA">
        <w:rPr>
          <w:rFonts w:eastAsia="SimSun"/>
          <w:lang w:eastAsia="zh-CN"/>
        </w:rPr>
        <w:t xml:space="preserve"> </w:t>
      </w:r>
      <w:r w:rsidRPr="00D01EDA">
        <w:rPr>
          <w:lang w:eastAsia="ja-JP"/>
        </w:rPr>
        <w:t>sector</w:t>
      </w:r>
      <w:r>
        <w:rPr>
          <w:rFonts w:hint="eastAsia"/>
          <w:lang w:eastAsia="ja-JP"/>
        </w:rPr>
        <w:t xml:space="preserve"> or UE</w:t>
      </w:r>
      <w:r w:rsidRPr="00D01EDA">
        <w:rPr>
          <w:lang w:eastAsia="ja-JP"/>
        </w:rPr>
        <w:t xml:space="preserve"> </w:t>
      </w:r>
      <w:r w:rsidRPr="00D01EDA">
        <w:rPr>
          <w:rFonts w:eastAsia="SimSun"/>
          <w:lang w:eastAsia="zh-CN"/>
        </w:rPr>
        <w:t>(dB</w:t>
      </w:r>
      <w:r w:rsidRPr="00D01EDA">
        <w:rPr>
          <w:lang w:eastAsia="ja-JP"/>
        </w:rPr>
        <w:t>W</w:t>
      </w:r>
      <w:r w:rsidRPr="00D01EDA">
        <w:rPr>
          <w:rFonts w:eastAsia="SimSun"/>
          <w:lang w:eastAsia="zh-CN"/>
        </w:rPr>
        <w:t>/MHz)</w:t>
      </w:r>
    </w:p>
    <w:p w14:paraId="1918B928" w14:textId="145A044F" w:rsidR="008830C4" w:rsidRPr="00D01EDA" w:rsidRDefault="008830C4" w:rsidP="008830C4">
      <w:pPr>
        <w:pStyle w:val="Equationlegend"/>
        <w:tabs>
          <w:tab w:val="left" w:pos="1134"/>
          <w:tab w:val="left" w:pos="2268"/>
        </w:tabs>
        <w:rPr>
          <w:lang w:eastAsia="zh-CN"/>
        </w:rPr>
      </w:pPr>
      <w:r w:rsidRPr="00D01EDA">
        <w:rPr>
          <w:i/>
          <w:iCs/>
          <w:lang w:eastAsia="zh-CN"/>
        </w:rPr>
        <w:tab/>
      </w:r>
      <m:oMath>
        <m:sSub>
          <m:sSubPr>
            <m:ctrlPr>
              <w:rPr>
                <w:rFonts w:ascii="Cambria Math" w:hAnsi="Cambria Math"/>
                <w:i/>
                <w:iCs/>
                <w:lang w:eastAsia="zh-CN"/>
              </w:rPr>
            </m:ctrlPr>
          </m:sSubPr>
          <m:e>
            <m:r>
              <w:rPr>
                <w:rFonts w:ascii="Cambria Math" w:hAnsi="Cambria Math"/>
                <w:lang w:eastAsia="zh-CN"/>
              </w:rPr>
              <m:t>G</m:t>
            </m:r>
          </m:e>
          <m:sub>
            <m:r>
              <w:rPr>
                <w:rFonts w:ascii="Cambria Math" w:hAnsi="Cambria Math"/>
                <w:lang w:eastAsia="zh-CN"/>
              </w:rPr>
              <m:t>IMT</m:t>
            </m:r>
          </m:sub>
        </m:sSub>
      </m:oMath>
      <w:r w:rsidR="00735B0A">
        <w:rPr>
          <w:lang w:eastAsia="zh-CN"/>
        </w:rPr>
        <w:t xml:space="preserve">: </w:t>
      </w:r>
      <w:r w:rsidRPr="00D01EDA">
        <w:rPr>
          <w:lang w:eastAsia="ja-JP"/>
        </w:rPr>
        <w:t xml:space="preserve">IMT BS </w:t>
      </w:r>
      <w:r>
        <w:rPr>
          <w:rFonts w:hint="eastAsia"/>
          <w:lang w:eastAsia="ja-JP"/>
        </w:rPr>
        <w:t xml:space="preserve">sector or UE </w:t>
      </w:r>
      <w:r w:rsidRPr="00D01EDA">
        <w:t xml:space="preserve">antenna gain </w:t>
      </w:r>
      <w:r w:rsidRPr="00D01EDA">
        <w:rPr>
          <w:lang w:eastAsia="ja-JP"/>
        </w:rPr>
        <w:t>to</w:t>
      </w:r>
      <w:r>
        <w:rPr>
          <w:rFonts w:hint="eastAsia"/>
          <w:lang w:eastAsia="ja-JP"/>
        </w:rPr>
        <w:t>wards</w:t>
      </w:r>
      <w:r w:rsidRPr="00D01EDA">
        <w:rPr>
          <w:lang w:eastAsia="ja-JP"/>
        </w:rPr>
        <w:t xml:space="preserve"> </w:t>
      </w:r>
      <w:r w:rsidRPr="00D01EDA">
        <w:rPr>
          <w:lang w:eastAsia="zh-CN"/>
        </w:rPr>
        <w:t>the FS station (dBi)</w:t>
      </w:r>
    </w:p>
    <w:p w14:paraId="6483F205" w14:textId="762C41E9" w:rsidR="008830C4" w:rsidRPr="00D01EDA" w:rsidRDefault="008830C4" w:rsidP="008830C4">
      <w:pPr>
        <w:pStyle w:val="Equationlegend"/>
        <w:tabs>
          <w:tab w:val="left" w:pos="1134"/>
          <w:tab w:val="left" w:pos="2268"/>
        </w:tabs>
        <w:rPr>
          <w:lang w:eastAsia="ja-JP"/>
        </w:rPr>
      </w:pPr>
      <w:r w:rsidRPr="00D01EDA">
        <w:rPr>
          <w:i/>
          <w:iCs/>
        </w:rPr>
        <w:tab/>
      </w:r>
      <m:oMath>
        <m:sSub>
          <m:sSubPr>
            <m:ctrlPr>
              <w:rPr>
                <w:rFonts w:ascii="Cambria Math" w:hAnsi="Cambria Math"/>
                <w:i/>
                <w:iCs/>
              </w:rPr>
            </m:ctrlPr>
          </m:sSubPr>
          <m:e>
            <m:r>
              <w:rPr>
                <w:rFonts w:ascii="Cambria Math" w:hAnsi="Cambria Math"/>
              </w:rPr>
              <m:t>L</m:t>
            </m:r>
          </m:e>
          <m:sub>
            <m:r>
              <w:rPr>
                <w:rFonts w:ascii="Cambria Math" w:hAnsi="Cambria Math"/>
              </w:rPr>
              <m:t>pr</m:t>
            </m:r>
          </m:sub>
        </m:sSub>
      </m:oMath>
      <w:r w:rsidR="0017778A" w:rsidRPr="0017778A">
        <w:t xml:space="preserve">: </w:t>
      </w:r>
      <w:r w:rsidRPr="00D01EDA">
        <w:t xml:space="preserve">propagation loss </w:t>
      </w:r>
      <w:r w:rsidRPr="00D01EDA">
        <w:rPr>
          <w:lang w:eastAsia="ja-JP"/>
        </w:rPr>
        <w:t xml:space="preserve">calculated from Recommendation ITU-R </w:t>
      </w:r>
      <w:r w:rsidRPr="002B5054">
        <w:rPr>
          <w:lang w:eastAsia="ja-JP"/>
        </w:rPr>
        <w:t>P.</w:t>
      </w:r>
      <w:r w:rsidRPr="002B5054">
        <w:rPr>
          <w:rFonts w:hint="eastAsia"/>
          <w:lang w:eastAsia="ja-JP"/>
        </w:rPr>
        <w:t>2001</w:t>
      </w:r>
      <w:r w:rsidRPr="002B5054">
        <w:rPr>
          <w:lang w:eastAsia="ja-JP"/>
        </w:rPr>
        <w:t>-</w:t>
      </w:r>
      <w:r w:rsidRPr="002B5054">
        <w:rPr>
          <w:rFonts w:hint="eastAsia"/>
          <w:lang w:eastAsia="ja-JP"/>
        </w:rPr>
        <w:t>4</w:t>
      </w:r>
      <w:r w:rsidRPr="00D01EDA">
        <w:rPr>
          <w:lang w:eastAsia="ja-JP"/>
        </w:rPr>
        <w:t xml:space="preserve"> (dB)</w:t>
      </w:r>
    </w:p>
    <w:p w14:paraId="34E89663" w14:textId="754B74A1" w:rsidR="008830C4" w:rsidRPr="00D01EDA" w:rsidRDefault="008830C4" w:rsidP="008830C4">
      <w:pPr>
        <w:pStyle w:val="Equationlegend"/>
        <w:tabs>
          <w:tab w:val="left" w:pos="1134"/>
          <w:tab w:val="left" w:pos="2268"/>
        </w:tabs>
        <w:rPr>
          <w:lang w:eastAsia="ja-JP"/>
        </w:rPr>
      </w:pPr>
      <w:r w:rsidRPr="00D01EDA">
        <w:rPr>
          <w:i/>
          <w:iCs/>
        </w:rPr>
        <w:tab/>
      </w:r>
      <m:oMath>
        <m:sSub>
          <m:sSubPr>
            <m:ctrlPr>
              <w:rPr>
                <w:rFonts w:ascii="Cambria Math" w:hAnsi="Cambria Math"/>
                <w:i/>
                <w:iCs/>
              </w:rPr>
            </m:ctrlPr>
          </m:sSubPr>
          <m:e>
            <m:r>
              <w:rPr>
                <w:rFonts w:ascii="Cambria Math" w:hAnsi="Cambria Math"/>
              </w:rPr>
              <m:t>L</m:t>
            </m:r>
          </m:e>
          <m:sub>
            <m:r>
              <w:rPr>
                <w:rFonts w:ascii="Cambria Math" w:hAnsi="Cambria Math"/>
              </w:rPr>
              <m:t>cl</m:t>
            </m:r>
          </m:sub>
        </m:sSub>
      </m:oMath>
      <w:r w:rsidR="0017778A">
        <w:t xml:space="preserve">: </w:t>
      </w:r>
      <w:r w:rsidRPr="00D01EDA">
        <w:tab/>
      </w:r>
      <w:r w:rsidRPr="00D01EDA">
        <w:rPr>
          <w:lang w:eastAsia="ja-JP"/>
        </w:rPr>
        <w:t>clutter</w:t>
      </w:r>
      <w:r w:rsidRPr="00D01EDA">
        <w:t xml:space="preserve"> loss </w:t>
      </w:r>
      <w:r w:rsidRPr="00D01EDA">
        <w:rPr>
          <w:lang w:eastAsia="ja-JP"/>
        </w:rPr>
        <w:t>calculated from Recommendation ITU-R P.2108-1 (dB)</w:t>
      </w:r>
    </w:p>
    <w:p w14:paraId="59DE355F" w14:textId="5D1DC984" w:rsidR="008830C4" w:rsidRPr="00D01EDA" w:rsidRDefault="008830C4" w:rsidP="00E42D0D">
      <w:pPr>
        <w:pStyle w:val="Equationlegend"/>
        <w:tabs>
          <w:tab w:val="left" w:pos="1134"/>
          <w:tab w:val="left" w:pos="2268"/>
        </w:tabs>
        <w:jc w:val="both"/>
      </w:pPr>
      <w:r w:rsidRPr="00D01EDA">
        <w:rPr>
          <w:i/>
          <w:iCs/>
        </w:rPr>
        <w:tab/>
      </w:r>
      <m:oMath>
        <m:sSub>
          <m:sSubPr>
            <m:ctrlPr>
              <w:rPr>
                <w:rFonts w:ascii="Cambria Math" w:hAnsi="Cambria Math"/>
                <w:i/>
                <w:iCs/>
              </w:rPr>
            </m:ctrlPr>
          </m:sSubPr>
          <m:e>
            <m:r>
              <w:rPr>
                <w:rFonts w:ascii="Cambria Math" w:hAnsi="Cambria Math"/>
              </w:rPr>
              <m:t>G</m:t>
            </m:r>
          </m:e>
          <m:sub>
            <m:r>
              <w:rPr>
                <w:rFonts w:ascii="Cambria Math" w:hAnsi="Cambria Math"/>
              </w:rPr>
              <m:t>FS</m:t>
            </m:r>
          </m:sub>
        </m:sSub>
      </m:oMath>
      <w:r w:rsidR="00E42D0D">
        <w:t xml:space="preserve">: </w:t>
      </w:r>
      <w:r w:rsidRPr="00D01EDA">
        <w:rPr>
          <w:lang w:eastAsia="zh-CN"/>
        </w:rPr>
        <w:t>a</w:t>
      </w:r>
      <w:r w:rsidRPr="00D01EDA">
        <w:t>ntenna gain</w:t>
      </w:r>
      <w:r w:rsidRPr="00D01EDA">
        <w:rPr>
          <w:lang w:eastAsia="zh-CN"/>
        </w:rPr>
        <w:t xml:space="preserve"> </w:t>
      </w:r>
      <w:r w:rsidRPr="00D01EDA">
        <w:t xml:space="preserve">of the </w:t>
      </w:r>
      <w:r w:rsidRPr="00D01EDA">
        <w:rPr>
          <w:lang w:eastAsia="zh-CN"/>
        </w:rPr>
        <w:t>FS station</w:t>
      </w:r>
      <w:r w:rsidRPr="00D01EDA">
        <w:t xml:space="preserve"> </w:t>
      </w:r>
      <w:r w:rsidRPr="00D01EDA">
        <w:rPr>
          <w:lang w:eastAsia="ja-JP"/>
        </w:rPr>
        <w:t>to</w:t>
      </w:r>
      <w:r>
        <w:rPr>
          <w:rFonts w:hint="eastAsia"/>
          <w:lang w:eastAsia="ja-JP"/>
        </w:rPr>
        <w:t>wards</w:t>
      </w:r>
      <w:r w:rsidRPr="00D01EDA">
        <w:rPr>
          <w:lang w:eastAsia="ja-JP"/>
        </w:rPr>
        <w:t xml:space="preserve"> the</w:t>
      </w:r>
      <w:r w:rsidRPr="00D01EDA">
        <w:t xml:space="preserve"> </w:t>
      </w:r>
      <w:r w:rsidRPr="00D01EDA">
        <w:rPr>
          <w:lang w:eastAsia="ja-JP"/>
        </w:rPr>
        <w:t>IMT network</w:t>
      </w:r>
      <w:r w:rsidRPr="00D01EDA">
        <w:t xml:space="preserve"> </w:t>
      </w:r>
      <w:r w:rsidRPr="00D01EDA">
        <w:rPr>
          <w:lang w:eastAsia="zh-CN"/>
        </w:rPr>
        <w:t>(dBi)</w:t>
      </w:r>
    </w:p>
    <w:p w14:paraId="21916093" w14:textId="0FDB8435" w:rsidR="008830C4" w:rsidRDefault="008830C4" w:rsidP="008830C4">
      <w:pPr>
        <w:pStyle w:val="Equationlegend"/>
        <w:tabs>
          <w:tab w:val="left" w:pos="1134"/>
          <w:tab w:val="left" w:pos="2268"/>
        </w:tabs>
        <w:rPr>
          <w:lang w:eastAsia="zh-CN"/>
        </w:rPr>
      </w:pPr>
      <w:r w:rsidRPr="00D01EDA">
        <w:rPr>
          <w:i/>
          <w:iCs/>
        </w:rPr>
        <w:tab/>
      </w:r>
      <m:oMath>
        <m:sSub>
          <m:sSubPr>
            <m:ctrlPr>
              <w:rPr>
                <w:rFonts w:ascii="Cambria Math" w:hAnsi="Cambria Math"/>
                <w:i/>
                <w:iCs/>
              </w:rPr>
            </m:ctrlPr>
          </m:sSubPr>
          <m:e>
            <m:r>
              <w:rPr>
                <w:rFonts w:ascii="Cambria Math" w:hAnsi="Cambria Math"/>
              </w:rPr>
              <m:t>L</m:t>
            </m:r>
          </m:e>
          <m:sub>
            <m:r>
              <w:rPr>
                <w:rFonts w:ascii="Cambria Math" w:hAnsi="Cambria Math"/>
              </w:rPr>
              <m:t>fl</m:t>
            </m:r>
          </m:sub>
        </m:sSub>
      </m:oMath>
      <w:r w:rsidR="00E42D0D">
        <w:t xml:space="preserve">: </w:t>
      </w:r>
      <w:r w:rsidRPr="00D01EDA">
        <w:rPr>
          <w:rFonts w:eastAsia="SimSun"/>
          <w:lang w:eastAsia="zh-CN"/>
        </w:rPr>
        <w:t>feeder loss</w:t>
      </w:r>
      <w:r w:rsidRPr="00D01EDA">
        <w:rPr>
          <w:lang w:eastAsia="zh-CN"/>
        </w:rPr>
        <w:t xml:space="preserve"> (dB)</w:t>
      </w:r>
    </w:p>
    <w:p w14:paraId="22774E44" w14:textId="77777777" w:rsidR="00B0408E" w:rsidRDefault="00B0408E" w:rsidP="00A00CEF">
      <w:pPr>
        <w:jc w:val="both"/>
        <w:rPr>
          <w:lang w:val="en-US"/>
        </w:rPr>
      </w:pPr>
    </w:p>
    <w:p w14:paraId="1075A8A4" w14:textId="3BAB23AF" w:rsidR="00C85C93" w:rsidRDefault="00C85C93" w:rsidP="00A00CEF">
      <w:pPr>
        <w:jc w:val="both"/>
        <w:rPr>
          <w:lang w:val="en-US"/>
        </w:rPr>
      </w:pPr>
      <w:r>
        <w:rPr>
          <w:lang w:val="en-US"/>
        </w:rPr>
        <w:t>The interference to noise</w:t>
      </w:r>
      <w:r w:rsidR="00AA757F">
        <w:rPr>
          <w:lang w:val="en-US"/>
        </w:rPr>
        <w:t xml:space="preserve">, </w:t>
      </w:r>
      <m:oMath>
        <m:r>
          <w:rPr>
            <w:rFonts w:ascii="Cambria Math" w:hAnsi="Cambria Math"/>
            <w:lang w:val="en-US"/>
          </w:rPr>
          <m:t>I/N</m:t>
        </m:r>
      </m:oMath>
      <w:r w:rsidR="00AA757F">
        <w:rPr>
          <w:lang w:val="en-US"/>
        </w:rPr>
        <w:t>, ratio</w:t>
      </w:r>
      <w:r>
        <w:rPr>
          <w:lang w:val="en-US"/>
        </w:rPr>
        <w:t xml:space="preserve"> is calculated by aggregating the </w:t>
      </w:r>
      <w:r w:rsidR="00EE1D9E">
        <w:rPr>
          <w:lang w:val="en-US"/>
        </w:rPr>
        <w:t xml:space="preserve">interference power density from all active IMT stations </w:t>
      </w:r>
      <w:r w:rsidR="00A44F04">
        <w:rPr>
          <w:lang w:val="en-US"/>
        </w:rPr>
        <w:t>in a Monte Carlo sample</w:t>
      </w:r>
      <w:r w:rsidR="00766732">
        <w:rPr>
          <w:lang w:val="en-US"/>
        </w:rPr>
        <w:t xml:space="preserve"> and subtracting the noise power density</w:t>
      </w:r>
      <w:r w:rsidR="003B6AF8">
        <w:rPr>
          <w:lang w:val="en-US"/>
        </w:rPr>
        <w:t xml:space="preserve"> with units dBW/MHz</w:t>
      </w:r>
      <w:r w:rsidR="00A44F04">
        <w:rPr>
          <w:lang w:val="en-US"/>
        </w:rPr>
        <w:t xml:space="preserve">. </w:t>
      </w:r>
    </w:p>
    <w:p w14:paraId="4B0E2BA9" w14:textId="79650A7D" w:rsidR="00380686" w:rsidRPr="00A51F26" w:rsidRDefault="00B46FA4" w:rsidP="00A00CEF">
      <w:pPr>
        <w:jc w:val="both"/>
        <w:rPr>
          <w:lang w:val="en-US"/>
        </w:rPr>
      </w:pPr>
      <w:r w:rsidRPr="00A51F26">
        <w:rPr>
          <w:lang w:val="en-US"/>
        </w:rPr>
        <w:t>In this study, t</w:t>
      </w:r>
      <w:r w:rsidR="009A0108" w:rsidRPr="00A51F26">
        <w:rPr>
          <w:lang w:val="en-US"/>
        </w:rPr>
        <w:t>errain data from the</w:t>
      </w:r>
      <w:r w:rsidR="00EA7227" w:rsidRPr="00A51F26">
        <w:rPr>
          <w:lang w:val="en-US"/>
        </w:rPr>
        <w:t xml:space="preserve"> </w:t>
      </w:r>
      <w:r w:rsidR="00184B86" w:rsidRPr="00A51F26">
        <w:rPr>
          <w:lang w:val="en-US"/>
        </w:rPr>
        <w:t>U.S.</w:t>
      </w:r>
      <w:r w:rsidR="00D80A89" w:rsidRPr="00A51F26">
        <w:rPr>
          <w:lang w:val="en-US"/>
        </w:rPr>
        <w:t xml:space="preserve"> G</w:t>
      </w:r>
      <w:r w:rsidR="00631B92" w:rsidRPr="00A51F26">
        <w:rPr>
          <w:lang w:val="en-US"/>
        </w:rPr>
        <w:t>eological Survey (USGS)</w:t>
      </w:r>
      <w:r w:rsidRPr="00A51F26">
        <w:rPr>
          <w:lang w:val="en-US"/>
        </w:rPr>
        <w:t>, without clutter along the path,</w:t>
      </w:r>
      <w:r w:rsidR="00EA7227" w:rsidRPr="00A51F26">
        <w:rPr>
          <w:lang w:val="en-US"/>
        </w:rPr>
        <w:t xml:space="preserve"> was used to </w:t>
      </w:r>
      <w:r w:rsidR="00DE5AAA" w:rsidRPr="00A51F26">
        <w:rPr>
          <w:lang w:val="en-US"/>
        </w:rPr>
        <w:t>mo</w:t>
      </w:r>
      <w:r w:rsidR="00EC7C25" w:rsidRPr="00A51F26">
        <w:rPr>
          <w:lang w:val="en-US"/>
        </w:rPr>
        <w:t xml:space="preserve">del different </w:t>
      </w:r>
      <w:r w:rsidR="00170953" w:rsidRPr="00A51F26">
        <w:rPr>
          <w:lang w:val="en-US"/>
        </w:rPr>
        <w:t>terrain</w:t>
      </w:r>
      <w:r w:rsidR="00EC7C25" w:rsidRPr="00A51F26">
        <w:rPr>
          <w:lang w:val="en-US"/>
        </w:rPr>
        <w:t xml:space="preserve"> profiles </w:t>
      </w:r>
      <w:r w:rsidR="002576AC" w:rsidRPr="00A51F26">
        <w:rPr>
          <w:lang w:val="en-US"/>
        </w:rPr>
        <w:t>between the IMT network and the FS station.</w:t>
      </w:r>
      <w:r w:rsidRPr="00A51F26">
        <w:rPr>
          <w:lang w:val="en-US"/>
        </w:rPr>
        <w:t xml:space="preserve">  </w:t>
      </w:r>
      <w:r w:rsidR="002576AC" w:rsidRPr="00A51F26">
        <w:rPr>
          <w:lang w:val="en-US"/>
        </w:rPr>
        <w:t xml:space="preserve">Specifically, each </w:t>
      </w:r>
      <w:r w:rsidR="0003594B">
        <w:rPr>
          <w:lang w:val="en-US"/>
        </w:rPr>
        <w:t xml:space="preserve">Monte Carlo </w:t>
      </w:r>
      <w:r w:rsidR="002576AC" w:rsidRPr="00A51F26">
        <w:rPr>
          <w:lang w:val="en-US"/>
        </w:rPr>
        <w:t xml:space="preserve">sample </w:t>
      </w:r>
      <w:r w:rsidR="0022342C" w:rsidRPr="00A51F26">
        <w:rPr>
          <w:lang w:val="en-US"/>
        </w:rPr>
        <w:t>of</w:t>
      </w:r>
      <w:r w:rsidR="002576AC" w:rsidRPr="00A51F26">
        <w:rPr>
          <w:lang w:val="en-US"/>
        </w:rPr>
        <w:t xml:space="preserve"> the simulation</w:t>
      </w:r>
      <w:r w:rsidR="006576F7" w:rsidRPr="00A51F26">
        <w:rPr>
          <w:lang w:val="en-US"/>
        </w:rPr>
        <w:t xml:space="preserve"> </w:t>
      </w:r>
      <w:r w:rsidR="00367225" w:rsidRPr="00A51F26">
        <w:rPr>
          <w:lang w:val="en-US"/>
        </w:rPr>
        <w:t xml:space="preserve">randomly selected a terrain profile of </w:t>
      </w:r>
      <w:r w:rsidR="00DD4FF2" w:rsidRPr="00A51F26">
        <w:rPr>
          <w:lang w:val="en-US"/>
        </w:rPr>
        <w:t xml:space="preserve">the appropriate length, </w:t>
      </w:r>
      <w:r w:rsidR="007D10F7" w:rsidRPr="00A51F26">
        <w:rPr>
          <w:lang w:val="en-US"/>
        </w:rPr>
        <w:t xml:space="preserve">determined by calculating the distance between the IMT network </w:t>
      </w:r>
      <w:r w:rsidR="002F2506" w:rsidRPr="00A51F26">
        <w:rPr>
          <w:lang w:val="en-US"/>
        </w:rPr>
        <w:t>stations</w:t>
      </w:r>
      <w:r w:rsidR="007D10F7" w:rsidRPr="00A51F26">
        <w:rPr>
          <w:lang w:val="en-US"/>
        </w:rPr>
        <w:t xml:space="preserve"> and the FS earth station, from a</w:t>
      </w:r>
      <w:r w:rsidR="0090075C" w:rsidRPr="00A51F26">
        <w:rPr>
          <w:lang w:val="en-US"/>
        </w:rPr>
        <w:t xml:space="preserve"> raster file </w:t>
      </w:r>
      <w:r w:rsidR="00664DA3" w:rsidRPr="00A51F26">
        <w:rPr>
          <w:lang w:val="en-US"/>
        </w:rPr>
        <w:t xml:space="preserve">of terrain data </w:t>
      </w:r>
      <w:r w:rsidR="0090075C" w:rsidRPr="00A51F26">
        <w:rPr>
          <w:lang w:val="en-US"/>
        </w:rPr>
        <w:t xml:space="preserve">bounded by </w:t>
      </w:r>
      <w:r w:rsidR="00664DA3" w:rsidRPr="00A51F26">
        <w:rPr>
          <w:lang w:val="en-US"/>
        </w:rPr>
        <w:t>la</w:t>
      </w:r>
      <w:r w:rsidR="000C7216" w:rsidRPr="00A51F26">
        <w:rPr>
          <w:lang w:val="en-US"/>
        </w:rPr>
        <w:t xml:space="preserve">titudes </w:t>
      </w:r>
      <w:r w:rsidR="002343AD">
        <w:rPr>
          <w:lang w:val="en-US"/>
        </w:rPr>
        <w:t>29</w:t>
      </w:r>
      <w:r w:rsidR="00BC17B1" w:rsidRPr="00A51F26">
        <w:rPr>
          <w:lang w:val="en-US"/>
        </w:rPr>
        <w:sym w:font="Symbol" w:char="F0B0"/>
      </w:r>
      <w:r w:rsidR="00BC17B1" w:rsidRPr="00A51F26">
        <w:rPr>
          <w:lang w:val="en-US"/>
        </w:rPr>
        <w:t>N and 32</w:t>
      </w:r>
      <w:r w:rsidR="00BC17B1" w:rsidRPr="00A51F26">
        <w:rPr>
          <w:lang w:val="en-US"/>
        </w:rPr>
        <w:sym w:font="Symbol" w:char="F0B0"/>
      </w:r>
      <w:r w:rsidR="00BC17B1" w:rsidRPr="00A51F26">
        <w:rPr>
          <w:lang w:val="en-US"/>
        </w:rPr>
        <w:t>N and longitudes 9</w:t>
      </w:r>
      <w:r w:rsidR="00C874C8">
        <w:rPr>
          <w:lang w:val="en-US"/>
        </w:rPr>
        <w:t>7</w:t>
      </w:r>
      <w:r w:rsidR="00BC17B1" w:rsidRPr="00A51F26">
        <w:rPr>
          <w:lang w:val="en-US"/>
        </w:rPr>
        <w:sym w:font="Symbol" w:char="F0B0"/>
      </w:r>
      <w:r w:rsidR="00BC17B1" w:rsidRPr="00A51F26">
        <w:rPr>
          <w:lang w:val="en-US"/>
        </w:rPr>
        <w:t>W and 9</w:t>
      </w:r>
      <w:r w:rsidR="002A2B4F" w:rsidRPr="00A51F26">
        <w:rPr>
          <w:lang w:val="en-US"/>
        </w:rPr>
        <w:t>4</w:t>
      </w:r>
      <w:r w:rsidR="002A2B4F" w:rsidRPr="00A51F26">
        <w:rPr>
          <w:lang w:val="en-US"/>
        </w:rPr>
        <w:sym w:font="Symbol" w:char="F0B0"/>
      </w:r>
      <w:r w:rsidR="002A2B4F" w:rsidRPr="00A51F26">
        <w:rPr>
          <w:lang w:val="en-US"/>
        </w:rPr>
        <w:t xml:space="preserve">W. </w:t>
      </w:r>
      <w:r w:rsidR="00072B46" w:rsidRPr="00A51F26">
        <w:rPr>
          <w:lang w:val="en-US"/>
        </w:rPr>
        <w:t>The USGS terrain tiles are downloadable as 1x1-degree tiles</w:t>
      </w:r>
      <w:r w:rsidR="00F11566" w:rsidRPr="00A51F26">
        <w:rPr>
          <w:lang w:val="en-US"/>
        </w:rPr>
        <w:t xml:space="preserve"> meaning </w:t>
      </w:r>
      <w:r w:rsidR="00523EDE">
        <w:rPr>
          <w:lang w:val="en-US"/>
        </w:rPr>
        <w:t>nine</w:t>
      </w:r>
      <w:r w:rsidR="00F11566" w:rsidRPr="00A51F26">
        <w:rPr>
          <w:lang w:val="en-US"/>
        </w:rPr>
        <w:t xml:space="preserve"> tiles were used as the sample space </w:t>
      </w:r>
      <w:r w:rsidR="00D12B47" w:rsidRPr="00A51F26">
        <w:rPr>
          <w:lang w:val="en-US"/>
        </w:rPr>
        <w:t>for the terrain</w:t>
      </w:r>
      <w:r w:rsidR="00B26A29" w:rsidRPr="00A51F26">
        <w:rPr>
          <w:lang w:val="en-US"/>
        </w:rPr>
        <w:t xml:space="preserve"> profiles. </w:t>
      </w:r>
      <w:r w:rsidR="00C812A1" w:rsidRPr="00A51F26">
        <w:rPr>
          <w:lang w:val="en-US"/>
        </w:rPr>
        <w:t>The purpose of randomly sampling</w:t>
      </w:r>
      <w:r w:rsidR="006A555C" w:rsidRPr="00A51F26">
        <w:rPr>
          <w:lang w:val="en-US"/>
        </w:rPr>
        <w:t xml:space="preserve"> terrain profiles is to obtain </w:t>
      </w:r>
      <w:r w:rsidR="00B80472" w:rsidRPr="00A51F26">
        <w:rPr>
          <w:lang w:val="en-US"/>
        </w:rPr>
        <w:t xml:space="preserve">location-independent statistics </w:t>
      </w:r>
      <w:r w:rsidR="00BF1BAF" w:rsidRPr="00A51F26">
        <w:rPr>
          <w:lang w:val="en-US"/>
        </w:rPr>
        <w:t xml:space="preserve">for the path loss along different </w:t>
      </w:r>
      <w:r w:rsidR="00A21263" w:rsidRPr="00A51F26">
        <w:rPr>
          <w:lang w:val="en-US"/>
        </w:rPr>
        <w:t xml:space="preserve">terrain profiles. </w:t>
      </w:r>
    </w:p>
    <w:p w14:paraId="427695DF" w14:textId="70D28C79" w:rsidR="005A3CC2" w:rsidRPr="00A51F26" w:rsidRDefault="00783B1D" w:rsidP="00783B1D">
      <w:pPr>
        <w:jc w:val="both"/>
        <w:rPr>
          <w:lang w:val="en-US"/>
        </w:rPr>
      </w:pPr>
      <w:r w:rsidRPr="00A51F26">
        <w:rPr>
          <w:lang w:val="en-US"/>
        </w:rPr>
        <w:lastRenderedPageBreak/>
        <w:t>The victim link between the BSs/UEs and F</w:t>
      </w:r>
      <w:r w:rsidR="005A3CC2" w:rsidRPr="00A51F26">
        <w:rPr>
          <w:lang w:val="en-US"/>
        </w:rPr>
        <w:t>S</w:t>
      </w:r>
      <w:r w:rsidRPr="00A51F26">
        <w:rPr>
          <w:lang w:val="en-US"/>
        </w:rPr>
        <w:t xml:space="preserve"> </w:t>
      </w:r>
      <w:r w:rsidR="006F5508" w:rsidRPr="00A51F26">
        <w:rPr>
          <w:lang w:val="en-US"/>
        </w:rPr>
        <w:t xml:space="preserve">station </w:t>
      </w:r>
      <w:r w:rsidRPr="00A51F26">
        <w:rPr>
          <w:lang w:val="en-US"/>
        </w:rPr>
        <w:t>use</w:t>
      </w:r>
      <w:r w:rsidR="006F5508" w:rsidRPr="00A51F26">
        <w:rPr>
          <w:lang w:val="en-US"/>
        </w:rPr>
        <w:t>s</w:t>
      </w:r>
      <w:r w:rsidRPr="00A51F26">
        <w:rPr>
          <w:lang w:val="en-US"/>
        </w:rPr>
        <w:t xml:space="preserve"> Recommendations </w:t>
      </w:r>
      <w:r w:rsidR="006F5508" w:rsidRPr="00A51F26">
        <w:rPr>
          <w:lang w:val="en-US"/>
        </w:rPr>
        <w:t xml:space="preserve">ITU-R </w:t>
      </w:r>
      <w:r w:rsidRPr="00A51F26">
        <w:rPr>
          <w:lang w:val="en-US"/>
        </w:rPr>
        <w:t xml:space="preserve">P.2001 and P.2108 with uniformly random percentages of time. The </w:t>
      </w:r>
      <w:r w:rsidR="00760CF3" w:rsidRPr="00A51F26">
        <w:rPr>
          <w:lang w:val="en-US"/>
        </w:rPr>
        <w:t xml:space="preserve">simulation considers </w:t>
      </w:r>
      <w:r w:rsidR="003F26E3" w:rsidRPr="00A51F26">
        <w:rPr>
          <w:lang w:val="en-US"/>
        </w:rPr>
        <w:t>10,</w:t>
      </w:r>
      <w:r w:rsidR="00760CF3" w:rsidRPr="00A51F26">
        <w:rPr>
          <w:lang w:val="en-US"/>
        </w:rPr>
        <w:t>000 samples</w:t>
      </w:r>
      <w:r w:rsidR="005E20DE" w:rsidRPr="00A51F26">
        <w:rPr>
          <w:lang w:val="en-US"/>
        </w:rPr>
        <w:t xml:space="preserve"> for each FS station configuration</w:t>
      </w:r>
      <w:r w:rsidRPr="00A51F26">
        <w:rPr>
          <w:lang w:val="en-US"/>
        </w:rPr>
        <w:t>.</w:t>
      </w:r>
    </w:p>
    <w:p w14:paraId="76D64AD7" w14:textId="21AF2578" w:rsidR="00757F37" w:rsidRPr="00A51F26" w:rsidRDefault="00757F37" w:rsidP="00757F37">
      <w:pPr>
        <w:keepNext/>
        <w:keepLines/>
        <w:spacing w:before="200"/>
        <w:ind w:left="1134" w:hanging="1134"/>
        <w:outlineLvl w:val="2"/>
        <w:rPr>
          <w:b/>
          <w:lang w:val="en-US" w:eastAsia="zh-CN"/>
        </w:rPr>
      </w:pPr>
      <w:r w:rsidRPr="00A51F26">
        <w:rPr>
          <w:b/>
          <w:lang w:val="en-US"/>
        </w:rPr>
        <w:t>A</w:t>
      </w:r>
      <w:r w:rsidR="00A55702">
        <w:rPr>
          <w:b/>
          <w:lang w:val="en-US"/>
        </w:rPr>
        <w:t>1.1.4.4</w:t>
      </w:r>
      <w:r w:rsidRPr="00A51F26">
        <w:rPr>
          <w:b/>
          <w:lang w:val="en-US" w:eastAsia="ja-JP"/>
        </w:rPr>
        <w:tab/>
      </w:r>
      <w:r w:rsidRPr="00A51F26">
        <w:rPr>
          <w:b/>
          <w:lang w:val="en-US" w:eastAsia="zh-CN"/>
        </w:rPr>
        <w:t>Intermediate results</w:t>
      </w:r>
    </w:p>
    <w:p w14:paraId="160203AF" w14:textId="379E4292" w:rsidR="00757F37" w:rsidRPr="00A51F26" w:rsidRDefault="003E35BB" w:rsidP="00757F37">
      <w:pPr>
        <w:jc w:val="both"/>
        <w:rPr>
          <w:lang w:val="en-US"/>
        </w:rPr>
      </w:pPr>
      <w:r w:rsidRPr="00A51F26">
        <w:rPr>
          <w:lang w:val="en-US"/>
        </w:rPr>
        <w:t xml:space="preserve">The study calculated the </w:t>
      </w:r>
      <w:r w:rsidR="00806D35" w:rsidRPr="00A51F26">
        <w:rPr>
          <w:lang w:val="en-US"/>
        </w:rPr>
        <w:t xml:space="preserve">transmit antenna gain of the IMT BS in the direction of the FS station as well as the off-axis </w:t>
      </w:r>
      <w:r w:rsidR="005F1679" w:rsidRPr="00A51F26">
        <w:rPr>
          <w:lang w:val="en-US"/>
        </w:rPr>
        <w:t xml:space="preserve">gain of the </w:t>
      </w:r>
      <w:r w:rsidR="003E7CCB">
        <w:rPr>
          <w:lang w:val="en-US"/>
        </w:rPr>
        <w:t>FS</w:t>
      </w:r>
      <w:r w:rsidR="005F1679" w:rsidRPr="00A51F26">
        <w:rPr>
          <w:lang w:val="en-US"/>
        </w:rPr>
        <w:t xml:space="preserve"> station antenna in the direction of the IMT network. </w:t>
      </w:r>
      <w:r w:rsidR="00145DC5" w:rsidRPr="00A51F26">
        <w:rPr>
          <w:lang w:val="en-US"/>
        </w:rPr>
        <w:t>As an example, a</w:t>
      </w:r>
      <w:r w:rsidR="00473242" w:rsidRPr="00A51F26">
        <w:rPr>
          <w:lang w:val="en-US"/>
        </w:rPr>
        <w:t xml:space="preserve"> CDF of these gain values </w:t>
      </w:r>
      <w:r w:rsidR="00CF014B" w:rsidRPr="00A51F26">
        <w:rPr>
          <w:lang w:val="en-US"/>
        </w:rPr>
        <w:t>is</w:t>
      </w:r>
      <w:r w:rsidR="00473242" w:rsidRPr="00A51F26">
        <w:rPr>
          <w:lang w:val="en-US"/>
        </w:rPr>
        <w:t xml:space="preserve"> shown in the following figure</w:t>
      </w:r>
      <w:r w:rsidR="00171B92" w:rsidRPr="00A51F26">
        <w:rPr>
          <w:lang w:val="en-US"/>
        </w:rPr>
        <w:t xml:space="preserve"> for the </w:t>
      </w:r>
      <w:r w:rsidR="00750B3D">
        <w:rPr>
          <w:lang w:val="en-US"/>
        </w:rPr>
        <w:t xml:space="preserve">mainlobe coupling </w:t>
      </w:r>
      <w:r w:rsidR="00171B92" w:rsidRPr="00A51F26">
        <w:rPr>
          <w:lang w:val="en-US"/>
        </w:rPr>
        <w:t xml:space="preserve">configuration. Note that each configuration recalculates the antenna gain information </w:t>
      </w:r>
      <w:r w:rsidR="00145DC5" w:rsidRPr="00A51F26">
        <w:rPr>
          <w:lang w:val="en-US"/>
        </w:rPr>
        <w:t xml:space="preserve">since the elevation and distance values </w:t>
      </w:r>
      <w:r w:rsidR="00123806" w:rsidRPr="00A51F26">
        <w:rPr>
          <w:lang w:val="en-US"/>
        </w:rPr>
        <w:t xml:space="preserve">were varied. </w:t>
      </w:r>
      <w:r w:rsidR="00145DC5" w:rsidRPr="00A51F26">
        <w:rPr>
          <w:lang w:val="en-US"/>
        </w:rPr>
        <w:t xml:space="preserve"> </w:t>
      </w:r>
    </w:p>
    <w:p w14:paraId="610075E3" w14:textId="0E2CE646" w:rsidR="00473242" w:rsidRPr="00A51F26" w:rsidRDefault="00473242" w:rsidP="00473242">
      <w:pPr>
        <w:pStyle w:val="FigureNo"/>
        <w:rPr>
          <w:lang w:val="en-US" w:eastAsia="zh-CN"/>
        </w:rPr>
      </w:pPr>
      <w:r w:rsidRPr="00A51F26">
        <w:rPr>
          <w:lang w:val="en-US" w:eastAsia="zh-CN"/>
        </w:rPr>
        <w:t xml:space="preserve">Figure </w:t>
      </w:r>
      <w:r w:rsidR="00894D87">
        <w:rPr>
          <w:lang w:val="en-US" w:eastAsia="zh-CN"/>
        </w:rPr>
        <w:t>2</w:t>
      </w:r>
    </w:p>
    <w:p w14:paraId="69B77867" w14:textId="5C8129F5" w:rsidR="00473242" w:rsidRPr="00A51F26" w:rsidRDefault="002B12A1" w:rsidP="00473242">
      <w:pPr>
        <w:pStyle w:val="Figuretitle"/>
        <w:rPr>
          <w:lang w:val="en-US" w:eastAsia="zh-CN"/>
        </w:rPr>
      </w:pPr>
      <w:r w:rsidRPr="00A51F26">
        <w:rPr>
          <w:lang w:val="en-US" w:eastAsia="zh-CN"/>
        </w:rPr>
        <w:t xml:space="preserve">IMT </w:t>
      </w:r>
      <w:r w:rsidR="008D1DDA" w:rsidRPr="00A51F26">
        <w:rPr>
          <w:lang w:val="en-US" w:eastAsia="zh-CN"/>
        </w:rPr>
        <w:t>BS</w:t>
      </w:r>
      <w:r w:rsidRPr="00A51F26">
        <w:rPr>
          <w:lang w:val="en-US" w:eastAsia="zh-CN"/>
        </w:rPr>
        <w:t xml:space="preserve"> </w:t>
      </w:r>
      <w:r w:rsidR="00BE7542" w:rsidRPr="00A51F26">
        <w:rPr>
          <w:lang w:val="en-US" w:eastAsia="zh-CN"/>
        </w:rPr>
        <w:t>antenna gain toward</w:t>
      </w:r>
      <w:r w:rsidR="008D1DDA" w:rsidRPr="00A51F26">
        <w:rPr>
          <w:lang w:val="en-US" w:eastAsia="zh-CN"/>
        </w:rPr>
        <w:t>s</w:t>
      </w:r>
      <w:r w:rsidR="00BE7542" w:rsidRPr="00A51F26">
        <w:rPr>
          <w:lang w:val="en-US" w:eastAsia="zh-CN"/>
        </w:rPr>
        <w:t xml:space="preserve"> the FS station (left) and FS station </w:t>
      </w:r>
      <w:r w:rsidR="00704D4F" w:rsidRPr="00A51F26">
        <w:rPr>
          <w:lang w:val="en-US" w:eastAsia="zh-CN"/>
        </w:rPr>
        <w:t xml:space="preserve">off-axis antenna </w:t>
      </w:r>
      <w:r w:rsidR="00BE7542" w:rsidRPr="00A51F26">
        <w:rPr>
          <w:lang w:val="en-US" w:eastAsia="zh-CN"/>
        </w:rPr>
        <w:t>gain</w:t>
      </w:r>
      <w:r w:rsidR="00704D4F" w:rsidRPr="00A51F26">
        <w:rPr>
          <w:lang w:val="en-US" w:eastAsia="zh-CN"/>
        </w:rPr>
        <w:t xml:space="preserve"> towards the IMT </w:t>
      </w:r>
      <w:r w:rsidR="008D1DDA" w:rsidRPr="00A51F26">
        <w:rPr>
          <w:lang w:val="en-US" w:eastAsia="zh-CN"/>
        </w:rPr>
        <w:t>network</w:t>
      </w:r>
      <w:r w:rsidR="00704D4F" w:rsidRPr="00A51F26">
        <w:rPr>
          <w:lang w:val="en-US" w:eastAsia="zh-CN"/>
        </w:rPr>
        <w:t xml:space="preserve"> (right) </w:t>
      </w:r>
      <w:r w:rsidR="0018474A">
        <w:rPr>
          <w:lang w:val="en-US" w:eastAsia="zh-CN"/>
        </w:rPr>
        <w:t>with mainlobe coupling</w:t>
      </w:r>
    </w:p>
    <w:tbl>
      <w:tblPr>
        <w:tblStyle w:val="TableGrid"/>
        <w:tblW w:w="6529" w:type="dxa"/>
        <w:jc w:val="center"/>
        <w:tblLook w:val="04A0" w:firstRow="1" w:lastRow="0" w:firstColumn="1" w:lastColumn="0" w:noHBand="0" w:noVBand="1"/>
      </w:tblPr>
      <w:tblGrid>
        <w:gridCol w:w="4814"/>
        <w:gridCol w:w="4815"/>
      </w:tblGrid>
      <w:tr w:rsidR="00473242" w:rsidRPr="00A51F26" w14:paraId="439B53FE" w14:textId="77777777" w:rsidTr="0053160D">
        <w:trPr>
          <w:jc w:val="center"/>
        </w:trPr>
        <w:tc>
          <w:tcPr>
            <w:tcW w:w="1705" w:type="dxa"/>
            <w:vAlign w:val="center"/>
          </w:tcPr>
          <w:p w14:paraId="2781887D" w14:textId="1D6537D6" w:rsidR="00473242" w:rsidRPr="00A51F26" w:rsidRDefault="00D8574D" w:rsidP="0053160D">
            <w:pPr>
              <w:spacing w:before="0"/>
              <w:jc w:val="center"/>
              <w:rPr>
                <w:rFonts w:ascii="Times New Roman" w:hAnsi="Times New Roman" w:cs="Times New Roman"/>
                <w:sz w:val="20"/>
                <w:lang w:val="en-US"/>
              </w:rPr>
            </w:pPr>
            <w:r>
              <w:rPr>
                <w:noProof/>
                <w:sz w:val="20"/>
                <w:lang w:val="en-US"/>
              </w:rPr>
              <w:drawing>
                <wp:inline distT="0" distB="0" distL="0" distR="0" wp14:anchorId="4F1BBF18" wp14:editId="73C7A983">
                  <wp:extent cx="3017520" cy="2263062"/>
                  <wp:effectExtent l="0" t="0" r="5080" b="0"/>
                  <wp:docPr id="1588228576" name="Picture 2"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28576" name="Picture 2" descr="A graph of a graph&#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7520" cy="2263062"/>
                          </a:xfrm>
                          <a:prstGeom prst="rect">
                            <a:avLst/>
                          </a:prstGeom>
                        </pic:spPr>
                      </pic:pic>
                    </a:graphicData>
                  </a:graphic>
                </wp:inline>
              </w:drawing>
            </w:r>
          </w:p>
        </w:tc>
        <w:tc>
          <w:tcPr>
            <w:tcW w:w="4824" w:type="dxa"/>
            <w:vAlign w:val="center"/>
          </w:tcPr>
          <w:p w14:paraId="2F5DFC0D" w14:textId="2FD79140" w:rsidR="00473242" w:rsidRPr="00A51F26" w:rsidRDefault="00D91F84" w:rsidP="0053160D">
            <w:pPr>
              <w:spacing w:before="0"/>
              <w:jc w:val="center"/>
              <w:rPr>
                <w:rFonts w:ascii="Times New Roman" w:hAnsi="Times New Roman" w:cs="Times New Roman"/>
                <w:sz w:val="20"/>
                <w:lang w:val="en-US"/>
              </w:rPr>
            </w:pPr>
            <w:r>
              <w:rPr>
                <w:noProof/>
                <w:sz w:val="20"/>
                <w:lang w:val="en-US"/>
              </w:rPr>
              <w:drawing>
                <wp:inline distT="0" distB="0" distL="0" distR="0" wp14:anchorId="7BEC0955" wp14:editId="3640ECC2">
                  <wp:extent cx="3017520" cy="2263062"/>
                  <wp:effectExtent l="0" t="0" r="5080" b="0"/>
                  <wp:docPr id="277669360" name="Picture 6"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69360" name="Picture 6" descr="A graph with a lin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7520" cy="2263062"/>
                          </a:xfrm>
                          <a:prstGeom prst="rect">
                            <a:avLst/>
                          </a:prstGeom>
                        </pic:spPr>
                      </pic:pic>
                    </a:graphicData>
                  </a:graphic>
                </wp:inline>
              </w:drawing>
            </w:r>
          </w:p>
        </w:tc>
      </w:tr>
    </w:tbl>
    <w:p w14:paraId="18822142" w14:textId="77777777" w:rsidR="00D54B83" w:rsidRPr="00A51F26" w:rsidRDefault="00D54B83" w:rsidP="00757F37">
      <w:pPr>
        <w:jc w:val="both"/>
        <w:rPr>
          <w:lang w:val="en-US"/>
        </w:rPr>
      </w:pPr>
    </w:p>
    <w:p w14:paraId="5220EF4A" w14:textId="2CA99BB2" w:rsidR="00783B1D" w:rsidRPr="00A51F26" w:rsidRDefault="00783B1D" w:rsidP="00783B1D">
      <w:pPr>
        <w:keepNext/>
        <w:keepLines/>
        <w:spacing w:before="200"/>
        <w:ind w:left="1134" w:hanging="1134"/>
        <w:outlineLvl w:val="2"/>
        <w:rPr>
          <w:b/>
          <w:lang w:val="en-US" w:eastAsia="zh-CN"/>
        </w:rPr>
      </w:pPr>
      <w:r w:rsidRPr="00A51F26">
        <w:rPr>
          <w:b/>
          <w:lang w:val="en-US"/>
        </w:rPr>
        <w:t>A</w:t>
      </w:r>
      <w:r w:rsidR="0018474A">
        <w:rPr>
          <w:b/>
          <w:lang w:val="en-US"/>
        </w:rPr>
        <w:t>1.1.4.5</w:t>
      </w:r>
      <w:r w:rsidRPr="00A51F26">
        <w:rPr>
          <w:b/>
          <w:lang w:val="en-US" w:eastAsia="ja-JP"/>
        </w:rPr>
        <w:tab/>
      </w:r>
      <w:r w:rsidRPr="00A51F26">
        <w:rPr>
          <w:b/>
          <w:lang w:val="en-US" w:eastAsia="zh-CN"/>
        </w:rPr>
        <w:t>Study results</w:t>
      </w:r>
    </w:p>
    <w:p w14:paraId="6514BCDD" w14:textId="48512DDE" w:rsidR="005501A4" w:rsidRDefault="00A95405" w:rsidP="00783B1D">
      <w:pPr>
        <w:jc w:val="both"/>
        <w:rPr>
          <w:lang w:val="en-US"/>
        </w:rPr>
      </w:pPr>
      <w:r>
        <w:rPr>
          <w:lang w:val="en-US"/>
        </w:rPr>
        <w:t xml:space="preserve">The distances were varied until </w:t>
      </w:r>
      <w:r w:rsidR="006067B7">
        <w:rPr>
          <w:lang w:val="en-US"/>
        </w:rPr>
        <w:t xml:space="preserve">the </w:t>
      </w:r>
      <w:r w:rsidR="0008543E">
        <w:rPr>
          <w:lang w:val="en-US"/>
        </w:rPr>
        <w:t>FS station protection criteria was met</w:t>
      </w:r>
      <w:r w:rsidR="001411CD">
        <w:rPr>
          <w:lang w:val="en-US"/>
        </w:rPr>
        <w:t xml:space="preserve">. </w:t>
      </w:r>
      <w:r w:rsidR="005501A4">
        <w:rPr>
          <w:lang w:val="en-US"/>
        </w:rPr>
        <w:t xml:space="preserve">For the mainlobe configuration, the FS station needed to be 38 km </w:t>
      </w:r>
      <w:r w:rsidR="00952B7B">
        <w:rPr>
          <w:lang w:val="en-US"/>
        </w:rPr>
        <w:t xml:space="preserve">from the edge of the IMT deployment to meet the FS station protection criteria. </w:t>
      </w:r>
      <w:r w:rsidR="00A0541C">
        <w:rPr>
          <w:lang w:val="en-US"/>
        </w:rPr>
        <w:t xml:space="preserve">For the backlobe, </w:t>
      </w:r>
      <w:r w:rsidR="00A976DE">
        <w:rPr>
          <w:lang w:val="en-US"/>
        </w:rPr>
        <w:t>the FS station needed to be 1.5 km from the edge of the</w:t>
      </w:r>
      <w:r w:rsidR="00CB43A2">
        <w:rPr>
          <w:lang w:val="en-US"/>
        </w:rPr>
        <w:t xml:space="preserve"> IMT deployment.</w:t>
      </w:r>
    </w:p>
    <w:p w14:paraId="736C47AB" w14:textId="614304F0" w:rsidR="00783B1D" w:rsidRPr="00A51F26" w:rsidRDefault="00DF5650" w:rsidP="00783B1D">
      <w:pPr>
        <w:jc w:val="both"/>
        <w:rPr>
          <w:lang w:val="en-US"/>
        </w:rPr>
      </w:pPr>
      <w:r w:rsidRPr="00A51F26">
        <w:rPr>
          <w:lang w:val="en-US"/>
        </w:rPr>
        <w:t xml:space="preserve">In </w:t>
      </w:r>
      <w:r w:rsidR="00593CCB">
        <w:rPr>
          <w:lang w:val="en-US"/>
        </w:rPr>
        <w:t>the</w:t>
      </w:r>
      <w:r w:rsidR="00CB43A2">
        <w:rPr>
          <w:lang w:val="en-US"/>
        </w:rPr>
        <w:t xml:space="preserve"> following</w:t>
      </w:r>
      <w:r w:rsidR="00593CCB">
        <w:rPr>
          <w:lang w:val="en-US"/>
        </w:rPr>
        <w:t xml:space="preserve"> </w:t>
      </w:r>
      <w:r w:rsidRPr="00A51F26">
        <w:rPr>
          <w:lang w:val="en-US"/>
        </w:rPr>
        <w:t xml:space="preserve">figures, </w:t>
      </w:r>
      <w:r w:rsidR="004F04D2" w:rsidRPr="00A51F26">
        <w:rPr>
          <w:lang w:val="en-US"/>
        </w:rPr>
        <w:t>the FS station I/N is plotted as a cumulative distribution function (CDF)</w:t>
      </w:r>
      <w:r w:rsidR="00B3748D" w:rsidRPr="00A51F26">
        <w:rPr>
          <w:lang w:val="en-US"/>
        </w:rPr>
        <w:t xml:space="preserve"> for each configuration. </w:t>
      </w:r>
      <w:r w:rsidR="00046385">
        <w:rPr>
          <w:lang w:val="en-US"/>
        </w:rPr>
        <w:t>A red line shows the</w:t>
      </w:r>
      <w:r w:rsidR="00503231" w:rsidRPr="00A51F26">
        <w:rPr>
          <w:lang w:val="en-US"/>
        </w:rPr>
        <w:t xml:space="preserve"> I/N of -10 dB </w:t>
      </w:r>
      <w:r w:rsidR="00046385">
        <w:rPr>
          <w:lang w:val="en-US"/>
        </w:rPr>
        <w:t xml:space="preserve">which intersects a dashed black line representing the </w:t>
      </w:r>
      <w:r w:rsidR="00503231" w:rsidRPr="00A51F26">
        <w:rPr>
          <w:lang w:val="en-US"/>
        </w:rPr>
        <w:t xml:space="preserve">20% of the time </w:t>
      </w:r>
      <w:r w:rsidR="00046385">
        <w:rPr>
          <w:lang w:val="en-US"/>
        </w:rPr>
        <w:t>threshold</w:t>
      </w:r>
      <w:r w:rsidR="00503231" w:rsidRPr="00A51F26">
        <w:rPr>
          <w:lang w:val="en-US"/>
        </w:rPr>
        <w:t xml:space="preserve">. </w:t>
      </w:r>
    </w:p>
    <w:p w14:paraId="3BE04C75" w14:textId="2FD8A392" w:rsidR="00BF19A0" w:rsidRPr="00A51F26" w:rsidRDefault="00BF19A0" w:rsidP="00BF19A0">
      <w:pPr>
        <w:pStyle w:val="FigureNo"/>
        <w:rPr>
          <w:lang w:val="en-US" w:eastAsia="zh-CN"/>
        </w:rPr>
      </w:pPr>
      <w:r w:rsidRPr="00A51F26">
        <w:rPr>
          <w:lang w:val="en-US" w:eastAsia="zh-CN"/>
        </w:rPr>
        <w:t xml:space="preserve">Figure </w:t>
      </w:r>
      <w:r w:rsidR="00981A60">
        <w:rPr>
          <w:lang w:val="en-US" w:eastAsia="zh-CN"/>
        </w:rPr>
        <w:t>3</w:t>
      </w:r>
    </w:p>
    <w:p w14:paraId="26E1F341" w14:textId="18E75867" w:rsidR="00BF19A0" w:rsidRPr="00A51F26" w:rsidRDefault="003D372D" w:rsidP="00BF19A0">
      <w:pPr>
        <w:pStyle w:val="Figuretitle"/>
        <w:rPr>
          <w:lang w:val="en-US" w:eastAsia="zh-CN"/>
        </w:rPr>
      </w:pPr>
      <w:r w:rsidRPr="00A51F26">
        <w:rPr>
          <w:lang w:val="en-US" w:eastAsia="zh-CN"/>
        </w:rPr>
        <w:t xml:space="preserve">FS station I/N </w:t>
      </w:r>
      <w:r w:rsidR="009D385D" w:rsidRPr="00A51F26">
        <w:rPr>
          <w:lang w:val="en-US" w:eastAsia="zh-CN"/>
        </w:rPr>
        <w:t>CDF plots</w:t>
      </w:r>
    </w:p>
    <w:tbl>
      <w:tblPr>
        <w:tblStyle w:val="TableGrid"/>
        <w:tblW w:w="9691" w:type="dxa"/>
        <w:jc w:val="center"/>
        <w:tblLook w:val="04A0" w:firstRow="1" w:lastRow="0" w:firstColumn="1" w:lastColumn="0" w:noHBand="0" w:noVBand="1"/>
      </w:tblPr>
      <w:tblGrid>
        <w:gridCol w:w="1795"/>
        <w:gridCol w:w="7896"/>
      </w:tblGrid>
      <w:tr w:rsidR="00B87EA2" w:rsidRPr="00A51F26" w14:paraId="4C564ADF" w14:textId="77777777" w:rsidTr="00B87EA2">
        <w:trPr>
          <w:jc w:val="center"/>
        </w:trPr>
        <w:tc>
          <w:tcPr>
            <w:tcW w:w="1795" w:type="dxa"/>
            <w:vAlign w:val="center"/>
          </w:tcPr>
          <w:p w14:paraId="1FD2185E" w14:textId="14644C14" w:rsidR="00DA00D9" w:rsidRPr="00A51F26" w:rsidRDefault="00DA00D9" w:rsidP="00B33755">
            <w:pPr>
              <w:spacing w:before="0"/>
              <w:jc w:val="center"/>
              <w:rPr>
                <w:rFonts w:ascii="Times New Roman" w:hAnsi="Times New Roman" w:cs="Times New Roman"/>
                <w:sz w:val="20"/>
                <w:lang w:val="en-US"/>
              </w:rPr>
            </w:pPr>
            <w:r w:rsidRPr="00A51F26">
              <w:rPr>
                <w:rFonts w:ascii="Times New Roman" w:hAnsi="Times New Roman" w:cs="Times New Roman"/>
                <w:sz w:val="20"/>
                <w:lang w:val="en-US"/>
              </w:rPr>
              <w:t>Config</w:t>
            </w:r>
            <w:r w:rsidR="009D2146" w:rsidRPr="00A51F26">
              <w:rPr>
                <w:rFonts w:ascii="Times New Roman" w:hAnsi="Times New Roman" w:cs="Times New Roman"/>
                <w:sz w:val="20"/>
                <w:lang w:val="en-US"/>
              </w:rPr>
              <w:t xml:space="preserve">uration </w:t>
            </w:r>
          </w:p>
        </w:tc>
        <w:tc>
          <w:tcPr>
            <w:tcW w:w="7896" w:type="dxa"/>
            <w:vAlign w:val="center"/>
          </w:tcPr>
          <w:p w14:paraId="5D5EB46C" w14:textId="402EE9A6" w:rsidR="00DA00D9" w:rsidRPr="00A51F26" w:rsidRDefault="009D2146" w:rsidP="003F7748">
            <w:pPr>
              <w:spacing w:before="0"/>
              <w:jc w:val="center"/>
              <w:rPr>
                <w:rFonts w:ascii="Times New Roman" w:hAnsi="Times New Roman" w:cs="Times New Roman"/>
                <w:sz w:val="20"/>
                <w:lang w:val="en-US"/>
              </w:rPr>
            </w:pPr>
            <w:r w:rsidRPr="00A51F26">
              <w:rPr>
                <w:rFonts w:ascii="Times New Roman" w:hAnsi="Times New Roman" w:cs="Times New Roman"/>
                <w:sz w:val="20"/>
                <w:lang w:val="en-US"/>
              </w:rPr>
              <w:t>CDF plot</w:t>
            </w:r>
          </w:p>
        </w:tc>
      </w:tr>
      <w:tr w:rsidR="00B87EA2" w:rsidRPr="00A51F26" w14:paraId="2B39CABD" w14:textId="77777777" w:rsidTr="00B87EA2">
        <w:trPr>
          <w:jc w:val="center"/>
        </w:trPr>
        <w:tc>
          <w:tcPr>
            <w:tcW w:w="1795" w:type="dxa"/>
            <w:vAlign w:val="center"/>
          </w:tcPr>
          <w:p w14:paraId="10CED349" w14:textId="77777777" w:rsidR="00DA00D9" w:rsidRDefault="00081CC7" w:rsidP="00B33755">
            <w:pPr>
              <w:jc w:val="center"/>
              <w:rPr>
                <w:rFonts w:ascii="Times New Roman" w:hAnsi="Times New Roman" w:cs="Times New Roman"/>
                <w:sz w:val="20"/>
                <w:lang w:val="en-US"/>
              </w:rPr>
            </w:pPr>
            <w:r>
              <w:rPr>
                <w:rFonts w:ascii="Times New Roman" w:hAnsi="Times New Roman" w:cs="Times New Roman"/>
                <w:sz w:val="20"/>
                <w:lang w:val="en-US"/>
              </w:rPr>
              <w:lastRenderedPageBreak/>
              <w:t>Mainlobe</w:t>
            </w:r>
          </w:p>
          <w:p w14:paraId="55F2712F" w14:textId="3CE66090" w:rsidR="00CB1543" w:rsidRPr="00A51F26" w:rsidRDefault="006C048D" w:rsidP="00B33755">
            <w:pPr>
              <w:jc w:val="center"/>
              <w:rPr>
                <w:rFonts w:ascii="Times New Roman" w:hAnsi="Times New Roman" w:cs="Times New Roman"/>
                <w:sz w:val="20"/>
                <w:lang w:val="en-US"/>
              </w:rPr>
            </w:pPr>
            <m:oMathPara>
              <m:oMath>
                <m:sSub>
                  <m:sSubPr>
                    <m:ctrlPr>
                      <w:rPr>
                        <w:rFonts w:ascii="Cambria Math" w:hAnsi="Cambria Math"/>
                        <w:i/>
                        <w:sz w:val="20"/>
                        <w:lang w:val="en-US"/>
                      </w:rPr>
                    </m:ctrlPr>
                  </m:sSubPr>
                  <m:e>
                    <m:r>
                      <w:rPr>
                        <w:rFonts w:ascii="Cambria Math" w:hAnsi="Cambria Math"/>
                        <w:sz w:val="20"/>
                        <w:lang w:val="en-US"/>
                      </w:rPr>
                      <m:t>d</m:t>
                    </m:r>
                  </m:e>
                  <m:sub>
                    <m:r>
                      <w:rPr>
                        <w:rFonts w:ascii="Cambria Math" w:hAnsi="Cambria Math"/>
                        <w:sz w:val="20"/>
                        <w:lang w:val="en-US"/>
                      </w:rPr>
                      <m:t>front</m:t>
                    </m:r>
                  </m:sub>
                </m:sSub>
                <m:r>
                  <w:rPr>
                    <w:rFonts w:ascii="Cambria Math" w:hAnsi="Cambria Math"/>
                    <w:sz w:val="20"/>
                    <w:lang w:val="en-US"/>
                  </w:rPr>
                  <m:t>=38</m:t>
                </m:r>
                <m:r>
                  <w:rPr>
                    <w:rFonts w:ascii="Cambria Math" w:hAnsi="Cambria Math"/>
                    <w:sz w:val="20"/>
                    <w:lang w:val="en-US"/>
                  </w:rPr>
                  <m:t>km</m:t>
                </m:r>
              </m:oMath>
            </m:oMathPara>
          </w:p>
        </w:tc>
        <w:tc>
          <w:tcPr>
            <w:tcW w:w="7896" w:type="dxa"/>
            <w:vAlign w:val="center"/>
          </w:tcPr>
          <w:p w14:paraId="6F63AD35" w14:textId="0BAD5B0F" w:rsidR="004A30AB" w:rsidRPr="00A51F26" w:rsidRDefault="004C42F1" w:rsidP="0059580F">
            <w:pPr>
              <w:jc w:val="center"/>
              <w:rPr>
                <w:lang w:val="en-US"/>
              </w:rPr>
            </w:pPr>
            <w:r>
              <w:rPr>
                <w:noProof/>
                <w:lang w:val="en-US"/>
              </w:rPr>
              <w:drawing>
                <wp:inline distT="0" distB="0" distL="0" distR="0" wp14:anchorId="148B0D51" wp14:editId="34965422">
                  <wp:extent cx="4114800" cy="3085993"/>
                  <wp:effectExtent l="0" t="0" r="0" b="635"/>
                  <wp:docPr id="496996974" name="Picture 4"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96974" name="Picture 4" descr="A graph of a function&#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14800" cy="3085993"/>
                          </a:xfrm>
                          <a:prstGeom prst="rect">
                            <a:avLst/>
                          </a:prstGeom>
                        </pic:spPr>
                      </pic:pic>
                    </a:graphicData>
                  </a:graphic>
                </wp:inline>
              </w:drawing>
            </w:r>
          </w:p>
        </w:tc>
      </w:tr>
      <w:tr w:rsidR="00B87EA2" w:rsidRPr="00A51F26" w14:paraId="3A331FB3" w14:textId="77777777" w:rsidTr="00B87EA2">
        <w:tblPrEx>
          <w:jc w:val="left"/>
        </w:tblPrEx>
        <w:tc>
          <w:tcPr>
            <w:tcW w:w="1795" w:type="dxa"/>
            <w:vAlign w:val="center"/>
          </w:tcPr>
          <w:p w14:paraId="26B014BD" w14:textId="77777777" w:rsidR="00DA00D9" w:rsidRDefault="00081CC7" w:rsidP="00B33755">
            <w:pPr>
              <w:jc w:val="center"/>
              <w:rPr>
                <w:rFonts w:ascii="Times New Roman" w:hAnsi="Times New Roman" w:cs="Times New Roman"/>
                <w:sz w:val="20"/>
                <w:lang w:val="en-US"/>
              </w:rPr>
            </w:pPr>
            <w:r>
              <w:rPr>
                <w:rFonts w:ascii="Times New Roman" w:hAnsi="Times New Roman" w:cs="Times New Roman"/>
                <w:sz w:val="20"/>
                <w:lang w:val="en-US"/>
              </w:rPr>
              <w:t>Backlobe</w:t>
            </w:r>
          </w:p>
          <w:p w14:paraId="46C34946" w14:textId="1C0DF1D3" w:rsidR="00B87EA2" w:rsidRPr="00A51F26" w:rsidRDefault="006C048D" w:rsidP="00B33755">
            <w:pPr>
              <w:jc w:val="center"/>
              <w:rPr>
                <w:rFonts w:ascii="Times New Roman" w:hAnsi="Times New Roman" w:cs="Times New Roman"/>
                <w:sz w:val="20"/>
                <w:lang w:val="en-US"/>
              </w:rPr>
            </w:pPr>
            <m:oMathPara>
              <m:oMath>
                <m:sSub>
                  <m:sSubPr>
                    <m:ctrlPr>
                      <w:rPr>
                        <w:rFonts w:ascii="Cambria Math" w:hAnsi="Cambria Math"/>
                        <w:i/>
                        <w:sz w:val="20"/>
                        <w:lang w:val="en-US"/>
                      </w:rPr>
                    </m:ctrlPr>
                  </m:sSubPr>
                  <m:e>
                    <m:r>
                      <w:rPr>
                        <w:rFonts w:ascii="Cambria Math" w:hAnsi="Cambria Math"/>
                        <w:sz w:val="20"/>
                        <w:lang w:val="en-US"/>
                      </w:rPr>
                      <m:t>d</m:t>
                    </m:r>
                  </m:e>
                  <m:sub>
                    <m:r>
                      <w:rPr>
                        <w:rFonts w:ascii="Cambria Math" w:hAnsi="Cambria Math"/>
                        <w:sz w:val="20"/>
                        <w:lang w:val="en-US"/>
                      </w:rPr>
                      <m:t>back</m:t>
                    </m:r>
                  </m:sub>
                </m:sSub>
                <m:r>
                  <w:rPr>
                    <w:rFonts w:ascii="Cambria Math" w:hAnsi="Cambria Math"/>
                    <w:sz w:val="20"/>
                    <w:lang w:val="en-US"/>
                  </w:rPr>
                  <m:t>=1.5</m:t>
                </m:r>
                <m:r>
                  <w:rPr>
                    <w:rFonts w:ascii="Cambria Math" w:hAnsi="Cambria Math"/>
                    <w:sz w:val="20"/>
                    <w:lang w:val="en-US"/>
                  </w:rPr>
                  <m:t>km</m:t>
                </m:r>
              </m:oMath>
            </m:oMathPara>
          </w:p>
        </w:tc>
        <w:tc>
          <w:tcPr>
            <w:tcW w:w="7896" w:type="dxa"/>
            <w:vAlign w:val="center"/>
          </w:tcPr>
          <w:p w14:paraId="4CDEEE53" w14:textId="12FDCB2B" w:rsidR="00DA00D9" w:rsidRPr="00A51F26" w:rsidRDefault="004318A0" w:rsidP="003F7748">
            <w:pPr>
              <w:jc w:val="center"/>
              <w:rPr>
                <w:lang w:val="en-US"/>
              </w:rPr>
            </w:pPr>
            <w:r>
              <w:rPr>
                <w:noProof/>
                <w:lang w:val="en-US"/>
              </w:rPr>
              <w:drawing>
                <wp:inline distT="0" distB="0" distL="0" distR="0" wp14:anchorId="2D67F003" wp14:editId="2305E7B2">
                  <wp:extent cx="4114800" cy="3085993"/>
                  <wp:effectExtent l="0" t="0" r="0" b="635"/>
                  <wp:docPr id="341317622" name="Picture 5"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17622" name="Picture 5" descr="A graph with a blue line&#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114800" cy="3085993"/>
                          </a:xfrm>
                          <a:prstGeom prst="rect">
                            <a:avLst/>
                          </a:prstGeom>
                        </pic:spPr>
                      </pic:pic>
                    </a:graphicData>
                  </a:graphic>
                </wp:inline>
              </w:drawing>
            </w:r>
          </w:p>
        </w:tc>
      </w:tr>
    </w:tbl>
    <w:p w14:paraId="736D0776" w14:textId="00F9BD09" w:rsidR="00FE6A0E" w:rsidRPr="00B24CD2" w:rsidRDefault="00FE6A0E" w:rsidP="00B24CD2">
      <w:pPr>
        <w:rPr>
          <w:lang w:val="en-US"/>
        </w:rPr>
      </w:pPr>
    </w:p>
    <w:p w14:paraId="5316FFB9" w14:textId="31BFF5F5" w:rsidR="00783B1D" w:rsidRPr="00A51F26" w:rsidRDefault="00783B1D" w:rsidP="00783B1D">
      <w:pPr>
        <w:keepNext/>
        <w:keepLines/>
        <w:spacing w:before="200"/>
        <w:ind w:left="1134" w:hanging="1134"/>
        <w:outlineLvl w:val="2"/>
        <w:rPr>
          <w:b/>
          <w:lang w:val="en-US"/>
        </w:rPr>
      </w:pPr>
      <w:r w:rsidRPr="00A51F26">
        <w:rPr>
          <w:b/>
          <w:lang w:val="en-US"/>
        </w:rPr>
        <w:t>A</w:t>
      </w:r>
      <w:r w:rsidR="00981A60">
        <w:rPr>
          <w:b/>
          <w:lang w:val="en-US"/>
        </w:rPr>
        <w:t>1.1.4.6</w:t>
      </w:r>
      <w:r w:rsidRPr="00A51F26">
        <w:rPr>
          <w:b/>
          <w:lang w:val="en-US"/>
        </w:rPr>
        <w:tab/>
        <w:t xml:space="preserve">Summary and analysis of the results of Study </w:t>
      </w:r>
      <w:r w:rsidR="00981A60">
        <w:rPr>
          <w:b/>
          <w:lang w:val="en-US"/>
        </w:rPr>
        <w:t>D</w:t>
      </w:r>
    </w:p>
    <w:p w14:paraId="7D35D4AE" w14:textId="5F18C630" w:rsidR="00B002D6" w:rsidRPr="00A51F26" w:rsidRDefault="00CD23D6" w:rsidP="00783B1D">
      <w:pPr>
        <w:rPr>
          <w:lang w:val="en-US"/>
        </w:rPr>
      </w:pPr>
      <w:r w:rsidRPr="00A51F26">
        <w:rPr>
          <w:lang w:val="en-US"/>
        </w:rPr>
        <w:t>This</w:t>
      </w:r>
      <w:r w:rsidR="00E81569" w:rsidRPr="00A51F26">
        <w:rPr>
          <w:lang w:val="en-US"/>
        </w:rPr>
        <w:t xml:space="preserve"> </w:t>
      </w:r>
      <w:r w:rsidRPr="00A51F26">
        <w:rPr>
          <w:lang w:val="en-US"/>
        </w:rPr>
        <w:t xml:space="preserve">study considered </w:t>
      </w:r>
      <w:r w:rsidR="008B5D76" w:rsidRPr="00A51F26">
        <w:rPr>
          <w:lang w:val="en-US"/>
        </w:rPr>
        <w:t>potential</w:t>
      </w:r>
      <w:r w:rsidR="00D313DB">
        <w:rPr>
          <w:lang w:val="en-US"/>
        </w:rPr>
        <w:t xml:space="preserve"> cross-border</w:t>
      </w:r>
      <w:r w:rsidR="008B5D76" w:rsidRPr="00A51F26">
        <w:rPr>
          <w:lang w:val="en-US"/>
        </w:rPr>
        <w:t xml:space="preserve"> interference</w:t>
      </w:r>
      <w:r w:rsidR="00D313DB">
        <w:rPr>
          <w:lang w:val="en-US"/>
        </w:rPr>
        <w:t xml:space="preserve"> from an </w:t>
      </w:r>
      <w:r w:rsidR="00324443">
        <w:rPr>
          <w:lang w:val="en-US"/>
        </w:rPr>
        <w:t xml:space="preserve">urban </w:t>
      </w:r>
      <w:r w:rsidR="00D313DB">
        <w:rPr>
          <w:lang w:val="en-US"/>
        </w:rPr>
        <w:t>IMT deployment</w:t>
      </w:r>
      <w:r w:rsidR="008B5D76" w:rsidRPr="00A51F26">
        <w:rPr>
          <w:lang w:val="en-US"/>
        </w:rPr>
        <w:t xml:space="preserve"> into </w:t>
      </w:r>
      <w:r w:rsidR="0075560D" w:rsidRPr="00A51F26">
        <w:rPr>
          <w:lang w:val="en-US"/>
        </w:rPr>
        <w:t xml:space="preserve">an </w:t>
      </w:r>
      <w:r w:rsidR="008B5D76" w:rsidRPr="00A51F26">
        <w:rPr>
          <w:lang w:val="en-US"/>
        </w:rPr>
        <w:t xml:space="preserve">FS station </w:t>
      </w:r>
      <w:r w:rsidR="000A6401" w:rsidRPr="00A51F26">
        <w:rPr>
          <w:lang w:val="en-US"/>
        </w:rPr>
        <w:t xml:space="preserve">at various </w:t>
      </w:r>
      <w:r w:rsidR="003608B4" w:rsidRPr="00A51F26">
        <w:rPr>
          <w:lang w:val="en-US"/>
        </w:rPr>
        <w:t xml:space="preserve">antenna </w:t>
      </w:r>
      <w:r w:rsidR="00324443">
        <w:rPr>
          <w:lang w:val="en-US"/>
        </w:rPr>
        <w:t>coupling configurations</w:t>
      </w:r>
      <w:r w:rsidR="003608B4" w:rsidRPr="00A51F26">
        <w:rPr>
          <w:lang w:val="en-US"/>
        </w:rPr>
        <w:t xml:space="preserve"> and </w:t>
      </w:r>
      <w:r w:rsidR="000A6401" w:rsidRPr="00A51F26">
        <w:rPr>
          <w:lang w:val="en-US"/>
        </w:rPr>
        <w:t xml:space="preserve">distances from the </w:t>
      </w:r>
      <w:r w:rsidR="00F40D05" w:rsidRPr="00A51F26">
        <w:rPr>
          <w:lang w:val="en-US"/>
        </w:rPr>
        <w:t xml:space="preserve">border </w:t>
      </w:r>
      <w:r w:rsidR="00163DE1" w:rsidRPr="00A51F26">
        <w:rPr>
          <w:lang w:val="en-US"/>
        </w:rPr>
        <w:t>of a neighbouring country</w:t>
      </w:r>
      <w:r w:rsidR="00324443">
        <w:rPr>
          <w:lang w:val="en-US"/>
        </w:rPr>
        <w:t xml:space="preserve">. The </w:t>
      </w:r>
      <w:r w:rsidR="008B5D76" w:rsidRPr="00A51F26">
        <w:rPr>
          <w:lang w:val="en-US"/>
        </w:rPr>
        <w:t xml:space="preserve">urban </w:t>
      </w:r>
      <w:r w:rsidR="00111BD3" w:rsidRPr="00A51F26">
        <w:rPr>
          <w:lang w:val="en-US"/>
        </w:rPr>
        <w:t xml:space="preserve">IMT network deployment </w:t>
      </w:r>
      <w:r w:rsidR="00597BF0">
        <w:rPr>
          <w:lang w:val="en-US"/>
        </w:rPr>
        <w:t xml:space="preserve">was </w:t>
      </w:r>
      <w:r w:rsidR="005A3C70" w:rsidRPr="00A51F26">
        <w:rPr>
          <w:lang w:val="en-US"/>
        </w:rPr>
        <w:t xml:space="preserve">at the edge of </w:t>
      </w:r>
      <w:r w:rsidR="00680402" w:rsidRPr="00A51F26">
        <w:rPr>
          <w:lang w:val="en-US"/>
        </w:rPr>
        <w:t>its territory</w:t>
      </w:r>
      <w:r w:rsidR="00163DE1" w:rsidRPr="00A51F26">
        <w:rPr>
          <w:lang w:val="en-US"/>
        </w:rPr>
        <w:t xml:space="preserve">. </w:t>
      </w:r>
      <w:r w:rsidR="003608B4" w:rsidRPr="00A51F26">
        <w:rPr>
          <w:lang w:val="en-US"/>
        </w:rPr>
        <w:t xml:space="preserve">The IMT network had a </w:t>
      </w:r>
      <w:r w:rsidR="00111BD3" w:rsidRPr="00A51F26">
        <w:rPr>
          <w:lang w:val="en-US"/>
        </w:rPr>
        <w:t>20%</w:t>
      </w:r>
      <w:r w:rsidR="00AE17DB" w:rsidRPr="00A51F26">
        <w:rPr>
          <w:lang w:val="en-US"/>
        </w:rPr>
        <w:t xml:space="preserve"> </w:t>
      </w:r>
      <w:r w:rsidR="00D75A74" w:rsidRPr="00A51F26">
        <w:rPr>
          <w:lang w:val="en-US"/>
        </w:rPr>
        <w:t xml:space="preserve">network </w:t>
      </w:r>
      <w:r w:rsidR="00111BD3" w:rsidRPr="00A51F26">
        <w:rPr>
          <w:lang w:val="en-US"/>
        </w:rPr>
        <w:t>loading factor</w:t>
      </w:r>
      <w:r w:rsidR="0086329E" w:rsidRPr="00A51F26">
        <w:rPr>
          <w:lang w:val="en-US"/>
        </w:rPr>
        <w:t xml:space="preserve">, </w:t>
      </w:r>
      <w:r w:rsidR="0044509C" w:rsidRPr="00A51F26">
        <w:rPr>
          <w:lang w:val="en-US"/>
        </w:rPr>
        <w:t xml:space="preserve">a 75/25% </w:t>
      </w:r>
      <w:r w:rsidR="00706EAE" w:rsidRPr="00A51F26">
        <w:rPr>
          <w:lang w:val="en-US"/>
        </w:rPr>
        <w:t xml:space="preserve">BS downlink to uplink ratio, </w:t>
      </w:r>
      <w:r w:rsidR="00597BF0">
        <w:rPr>
          <w:lang w:val="en-US"/>
        </w:rPr>
        <w:t>100</w:t>
      </w:r>
      <w:r w:rsidR="0086329E" w:rsidRPr="00A51F26">
        <w:rPr>
          <w:lang w:val="en-US"/>
        </w:rPr>
        <w:t xml:space="preserve">% of the </w:t>
      </w:r>
      <w:r w:rsidR="002E6E92" w:rsidRPr="00A51F26">
        <w:rPr>
          <w:lang w:val="en-US"/>
        </w:rPr>
        <w:t xml:space="preserve">base stations </w:t>
      </w:r>
      <w:r w:rsidR="00597BF0">
        <w:rPr>
          <w:lang w:val="en-US"/>
        </w:rPr>
        <w:t>experienced clutter loss</w:t>
      </w:r>
      <w:r w:rsidR="009F546A" w:rsidRPr="00A51F26">
        <w:rPr>
          <w:lang w:val="en-US"/>
        </w:rPr>
        <w:t>, and a 70% indoor deployment of the UEs</w:t>
      </w:r>
      <w:r w:rsidR="003563E5" w:rsidRPr="00A51F26">
        <w:rPr>
          <w:lang w:val="en-US"/>
        </w:rPr>
        <w:t xml:space="preserve">. </w:t>
      </w:r>
      <w:r w:rsidR="00E81569" w:rsidRPr="00A51F26">
        <w:rPr>
          <w:lang w:val="en-US"/>
        </w:rPr>
        <w:t xml:space="preserve">Based on the assumptions used in the study, a separation distance </w:t>
      </w:r>
      <w:r w:rsidR="004B2FB6">
        <w:rPr>
          <w:lang w:val="en-US"/>
        </w:rPr>
        <w:t>38</w:t>
      </w:r>
      <w:r w:rsidR="00E81569" w:rsidRPr="00A51F26">
        <w:rPr>
          <w:lang w:val="en-US"/>
        </w:rPr>
        <w:t xml:space="preserve"> km would meet the </w:t>
      </w:r>
      <w:r w:rsidR="00215EB0">
        <w:rPr>
          <w:lang w:val="en-US"/>
        </w:rPr>
        <w:t>long-term (8</w:t>
      </w:r>
      <w:r w:rsidR="00E81569" w:rsidRPr="00A51F26">
        <w:rPr>
          <w:lang w:val="en-US"/>
        </w:rPr>
        <w:t>0%</w:t>
      </w:r>
      <w:r w:rsidR="00215EB0">
        <w:rPr>
          <w:lang w:val="en-US"/>
        </w:rPr>
        <w:t xml:space="preserve"> of the </w:t>
      </w:r>
      <w:r w:rsidR="00E81569" w:rsidRPr="00A51F26">
        <w:rPr>
          <w:lang w:val="en-US"/>
        </w:rPr>
        <w:t>time</w:t>
      </w:r>
      <w:r w:rsidR="00215EB0">
        <w:rPr>
          <w:lang w:val="en-US"/>
        </w:rPr>
        <w:t xml:space="preserve">) </w:t>
      </w:r>
      <w:r w:rsidR="00E81569" w:rsidRPr="00A51F26">
        <w:rPr>
          <w:lang w:val="en-US"/>
        </w:rPr>
        <w:t xml:space="preserve">threshold at an I/N of </w:t>
      </w:r>
      <w:r w:rsidR="004B2FB6">
        <w:rPr>
          <w:lang w:val="en-US"/>
        </w:rPr>
        <w:sym w:font="Symbol" w:char="F02D"/>
      </w:r>
      <w:r w:rsidR="00E81569" w:rsidRPr="00A51F26">
        <w:rPr>
          <w:lang w:val="en-US"/>
        </w:rPr>
        <w:t xml:space="preserve">10 dB.  </w:t>
      </w:r>
      <w:r w:rsidR="002637AC" w:rsidRPr="00A51F26">
        <w:rPr>
          <w:lang w:val="en-US"/>
        </w:rPr>
        <w:t xml:space="preserve">For back lobe coupling of the FS station with the IMT network, a separation distance </w:t>
      </w:r>
      <w:r w:rsidR="00A93692">
        <w:rPr>
          <w:lang w:val="en-US"/>
        </w:rPr>
        <w:t>of 1.5</w:t>
      </w:r>
      <w:r w:rsidR="002637AC" w:rsidRPr="00A51F26">
        <w:rPr>
          <w:lang w:val="en-US"/>
        </w:rPr>
        <w:t xml:space="preserve"> km protect</w:t>
      </w:r>
      <w:r w:rsidR="00EB2683" w:rsidRPr="00A51F26">
        <w:rPr>
          <w:lang w:val="en-US"/>
        </w:rPr>
        <w:t>s</w:t>
      </w:r>
      <w:r w:rsidR="002637AC" w:rsidRPr="00A51F26">
        <w:rPr>
          <w:lang w:val="en-US"/>
        </w:rPr>
        <w:t xml:space="preserve"> the FS station </w:t>
      </w:r>
      <w:r w:rsidR="00A93692">
        <w:rPr>
          <w:lang w:val="en-US"/>
        </w:rPr>
        <w:t xml:space="preserve">at </w:t>
      </w:r>
      <w:r w:rsidR="00215EB0">
        <w:rPr>
          <w:lang w:val="en-US"/>
        </w:rPr>
        <w:t>this</w:t>
      </w:r>
      <w:r w:rsidR="00A93692">
        <w:rPr>
          <w:lang w:val="en-US"/>
        </w:rPr>
        <w:t xml:space="preserve"> long-term protection objective.</w:t>
      </w:r>
    </w:p>
    <w:p w14:paraId="06C8D098" w14:textId="165B028D" w:rsidR="007B23C0" w:rsidRPr="00A51F26" w:rsidRDefault="007B23C0" w:rsidP="007B23C0">
      <w:pPr>
        <w:pStyle w:val="TableNo"/>
        <w:rPr>
          <w:lang w:val="en-US"/>
        </w:rPr>
      </w:pPr>
      <w:bookmarkStart w:id="9" w:name="dbreak"/>
      <w:bookmarkEnd w:id="8"/>
      <w:bookmarkEnd w:id="9"/>
      <w:r w:rsidRPr="00A51F26">
        <w:rPr>
          <w:lang w:val="en-US"/>
        </w:rPr>
        <w:lastRenderedPageBreak/>
        <w:t>Table (</w:t>
      </w:r>
      <w:r w:rsidR="00615207" w:rsidRPr="00615207">
        <w:rPr>
          <w:lang w:val="en-US"/>
        </w:rPr>
        <w:t>IMT AND THE FIXED SERVICE IN 4 400-4 800 MHZ FREQUENCY RANGE</w:t>
      </w:r>
      <w:r w:rsidRPr="00A51F26">
        <w:rPr>
          <w:lang w:val="en-US"/>
        </w:rPr>
        <w:t>)</w:t>
      </w:r>
    </w:p>
    <w:p w14:paraId="60F6FDA8" w14:textId="77777777" w:rsidR="007B23C0" w:rsidRPr="00A51F26" w:rsidRDefault="007B23C0" w:rsidP="007B23C0">
      <w:pPr>
        <w:pStyle w:val="Tabletitle"/>
        <w:rPr>
          <w:lang w:val="en-US" w:eastAsia="ja-JP"/>
        </w:rPr>
      </w:pPr>
      <w:r w:rsidRPr="00A51F26">
        <w:rPr>
          <w:lang w:val="en-US" w:eastAsia="ja-JP"/>
        </w:rPr>
        <w:t xml:space="preserve">Overview of the sharing and compatibility studies </w:t>
      </w:r>
    </w:p>
    <w:p w14:paraId="7E6DF6D6" w14:textId="77777777" w:rsidR="007B23C0" w:rsidRPr="00A51F26" w:rsidRDefault="007B23C0" w:rsidP="007B23C0">
      <w:pPr>
        <w:pStyle w:val="EditorsNote"/>
        <w:spacing w:after="120"/>
        <w:rPr>
          <w:lang w:val="en-US" w:eastAsia="ja-JP"/>
        </w:rPr>
      </w:pPr>
      <w:r w:rsidRPr="00A51F26">
        <w:rPr>
          <w:i w:val="0"/>
          <w:highlight w:val="yellow"/>
          <w:lang w:val="en-US" w:eastAsia="zh-CN"/>
        </w:rPr>
        <w:t>[</w:t>
      </w:r>
      <w:r w:rsidRPr="00A51F26">
        <w:rPr>
          <w:highlight w:val="yellow"/>
          <w:lang w:val="en-US" w:eastAsia="zh-CN"/>
        </w:rPr>
        <w:t>Editor’s note: Descriptive text and notes of the table. Rows to be added or deleted based on the decision of WP 5D.</w:t>
      </w:r>
      <w:r w:rsidRPr="00A51F26">
        <w:rPr>
          <w:i w:val="0"/>
          <w:highlight w:val="yellow"/>
          <w:lang w:val="en-US" w:eastAsia="zh-CN"/>
        </w:rPr>
        <w:t>]</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127"/>
        <w:gridCol w:w="1984"/>
        <w:gridCol w:w="1958"/>
      </w:tblGrid>
      <w:tr w:rsidR="007B23C0" w:rsidRPr="00A51F26" w14:paraId="1E4F68F5" w14:textId="77777777" w:rsidTr="00B23F31">
        <w:trPr>
          <w:tblHeader/>
          <w:jc w:val="center"/>
        </w:trPr>
        <w:tc>
          <w:tcPr>
            <w:tcW w:w="3397" w:type="dxa"/>
            <w:shd w:val="clear" w:color="auto" w:fill="D9D9D9" w:themeFill="background1" w:themeFillShade="D9"/>
            <w:vAlign w:val="center"/>
          </w:tcPr>
          <w:p w14:paraId="5BA363A8" w14:textId="77777777" w:rsidR="007B23C0" w:rsidRPr="00A51F26" w:rsidRDefault="007B23C0" w:rsidP="002834B3">
            <w:pPr>
              <w:pStyle w:val="Tablehead"/>
              <w:rPr>
                <w:lang w:val="en-US" w:eastAsia="zh-CN"/>
              </w:rPr>
            </w:pPr>
          </w:p>
        </w:tc>
        <w:tc>
          <w:tcPr>
            <w:tcW w:w="2127" w:type="dxa"/>
            <w:shd w:val="clear" w:color="auto" w:fill="D9D9D9" w:themeFill="background1" w:themeFillShade="D9"/>
            <w:vAlign w:val="center"/>
          </w:tcPr>
          <w:p w14:paraId="2632FDDF" w14:textId="77777777" w:rsidR="007B23C0" w:rsidRPr="00A51F26" w:rsidRDefault="007B23C0" w:rsidP="002834B3">
            <w:pPr>
              <w:pStyle w:val="Tablehead"/>
              <w:rPr>
                <w:lang w:val="en-US" w:eastAsia="zh-CN"/>
              </w:rPr>
            </w:pPr>
            <w:r w:rsidRPr="00A51F26">
              <w:rPr>
                <w:lang w:val="en-US" w:eastAsia="zh-CN"/>
              </w:rPr>
              <w:t>Parameters from expert WPs</w:t>
            </w:r>
          </w:p>
        </w:tc>
        <w:tc>
          <w:tcPr>
            <w:tcW w:w="1984" w:type="dxa"/>
            <w:shd w:val="clear" w:color="auto" w:fill="D9D9D9" w:themeFill="background1" w:themeFillShade="D9"/>
            <w:vAlign w:val="center"/>
          </w:tcPr>
          <w:p w14:paraId="0D4225B0" w14:textId="31F0675F" w:rsidR="007B23C0" w:rsidRPr="00A51F26" w:rsidRDefault="007B23C0" w:rsidP="002834B3">
            <w:pPr>
              <w:pStyle w:val="Tablehead"/>
              <w:rPr>
                <w:lang w:val="en-US" w:eastAsia="zh-CN"/>
              </w:rPr>
            </w:pPr>
            <w:r w:rsidRPr="00A51F26">
              <w:rPr>
                <w:lang w:val="en-US" w:eastAsia="zh-CN"/>
              </w:rPr>
              <w:t xml:space="preserve">Study </w:t>
            </w:r>
            <w:r w:rsidR="006077C4">
              <w:rPr>
                <w:lang w:val="en-US" w:eastAsia="zh-CN"/>
              </w:rPr>
              <w:t>D</w:t>
            </w:r>
          </w:p>
        </w:tc>
        <w:tc>
          <w:tcPr>
            <w:tcW w:w="1958" w:type="dxa"/>
            <w:shd w:val="clear" w:color="auto" w:fill="D9D9D9" w:themeFill="background1" w:themeFillShade="D9"/>
            <w:vAlign w:val="center"/>
          </w:tcPr>
          <w:p w14:paraId="3DAC83F7" w14:textId="77777777" w:rsidR="007B23C0" w:rsidRPr="00A51F26" w:rsidRDefault="007B23C0" w:rsidP="002834B3">
            <w:pPr>
              <w:pStyle w:val="Tablehead"/>
              <w:rPr>
                <w:lang w:val="en-US" w:eastAsia="zh-CN"/>
              </w:rPr>
            </w:pPr>
            <w:r w:rsidRPr="00A51F26">
              <w:rPr>
                <w:lang w:val="en-US" w:eastAsia="zh-CN"/>
              </w:rPr>
              <w:t>Study …</w:t>
            </w:r>
          </w:p>
        </w:tc>
      </w:tr>
      <w:tr w:rsidR="007B23C0" w:rsidRPr="00A51F26" w14:paraId="5992C074" w14:textId="77777777" w:rsidTr="00B23F31">
        <w:trPr>
          <w:jc w:val="center"/>
        </w:trPr>
        <w:tc>
          <w:tcPr>
            <w:tcW w:w="9466" w:type="dxa"/>
            <w:gridSpan w:val="4"/>
            <w:shd w:val="clear" w:color="auto" w:fill="auto"/>
            <w:vAlign w:val="center"/>
          </w:tcPr>
          <w:p w14:paraId="677A4AC1" w14:textId="77777777" w:rsidR="007B23C0" w:rsidRPr="00A51F26" w:rsidRDefault="007B23C0" w:rsidP="002834B3">
            <w:pPr>
              <w:pStyle w:val="Tabletext"/>
              <w:rPr>
                <w:b/>
                <w:bCs/>
                <w:lang w:val="en-US" w:eastAsia="zh-CN"/>
              </w:rPr>
            </w:pPr>
            <w:r w:rsidRPr="00A51F26">
              <w:rPr>
                <w:b/>
                <w:bCs/>
                <w:lang w:val="en-US" w:eastAsia="zh-CN"/>
              </w:rPr>
              <w:t>Methodology</w:t>
            </w:r>
          </w:p>
        </w:tc>
      </w:tr>
      <w:tr w:rsidR="007B23C0" w:rsidRPr="00A51F26" w14:paraId="13F0184E" w14:textId="77777777" w:rsidTr="00B23F31">
        <w:trPr>
          <w:jc w:val="center"/>
        </w:trPr>
        <w:tc>
          <w:tcPr>
            <w:tcW w:w="3397" w:type="dxa"/>
            <w:shd w:val="clear" w:color="auto" w:fill="auto"/>
            <w:vAlign w:val="center"/>
            <w:hideMark/>
          </w:tcPr>
          <w:p w14:paraId="6DEE0305" w14:textId="77777777" w:rsidR="007B23C0" w:rsidRPr="00A51F26" w:rsidRDefault="007B23C0" w:rsidP="002834B3">
            <w:pPr>
              <w:pStyle w:val="Tabletext"/>
              <w:rPr>
                <w:lang w:val="en-US" w:eastAsia="zh-CN"/>
              </w:rPr>
            </w:pPr>
            <w:r w:rsidRPr="00A51F26">
              <w:rPr>
                <w:lang w:val="en-US" w:eastAsia="zh-CN"/>
              </w:rPr>
              <w:t xml:space="preserve">Single-entry or Multiple-entry (aggregated) </w:t>
            </w:r>
          </w:p>
        </w:tc>
        <w:tc>
          <w:tcPr>
            <w:tcW w:w="2127" w:type="dxa"/>
            <w:shd w:val="clear" w:color="auto" w:fill="auto"/>
            <w:vAlign w:val="center"/>
            <w:hideMark/>
          </w:tcPr>
          <w:p w14:paraId="5EF6D1B2" w14:textId="77777777" w:rsidR="007B23C0" w:rsidRPr="00A51F26" w:rsidRDefault="007B23C0" w:rsidP="002834B3">
            <w:pPr>
              <w:pStyle w:val="Tabletext"/>
              <w:rPr>
                <w:lang w:val="en-US" w:eastAsia="zh-CN"/>
              </w:rPr>
            </w:pPr>
          </w:p>
        </w:tc>
        <w:tc>
          <w:tcPr>
            <w:tcW w:w="1984" w:type="dxa"/>
            <w:shd w:val="clear" w:color="auto" w:fill="auto"/>
            <w:vAlign w:val="center"/>
          </w:tcPr>
          <w:p w14:paraId="3DD795AC" w14:textId="57395422" w:rsidR="007B23C0" w:rsidRPr="00A51F26" w:rsidRDefault="00371756" w:rsidP="002834B3">
            <w:pPr>
              <w:pStyle w:val="Tabletext"/>
              <w:rPr>
                <w:lang w:val="en-US" w:eastAsia="zh-CN"/>
              </w:rPr>
            </w:pPr>
            <w:r w:rsidRPr="00A51F26">
              <w:rPr>
                <w:lang w:val="en-US" w:eastAsia="zh-CN"/>
              </w:rPr>
              <w:t>Aggregate</w:t>
            </w:r>
          </w:p>
        </w:tc>
        <w:tc>
          <w:tcPr>
            <w:tcW w:w="1958" w:type="dxa"/>
          </w:tcPr>
          <w:p w14:paraId="1295B291" w14:textId="77777777" w:rsidR="007B23C0" w:rsidRPr="00A51F26" w:rsidRDefault="007B23C0" w:rsidP="002834B3">
            <w:pPr>
              <w:pStyle w:val="Tabletext"/>
              <w:rPr>
                <w:lang w:val="en-US" w:eastAsia="zh-CN"/>
              </w:rPr>
            </w:pPr>
          </w:p>
        </w:tc>
      </w:tr>
      <w:tr w:rsidR="007B23C0" w:rsidRPr="00A51F26" w14:paraId="74F3E4D0" w14:textId="77777777" w:rsidTr="00B23F31">
        <w:trPr>
          <w:jc w:val="center"/>
        </w:trPr>
        <w:tc>
          <w:tcPr>
            <w:tcW w:w="3397" w:type="dxa"/>
            <w:shd w:val="clear" w:color="auto" w:fill="auto"/>
            <w:vAlign w:val="center"/>
            <w:hideMark/>
          </w:tcPr>
          <w:p w14:paraId="7CE12194" w14:textId="77777777" w:rsidR="007B23C0" w:rsidRPr="00A51F26" w:rsidRDefault="007B23C0" w:rsidP="002834B3">
            <w:pPr>
              <w:pStyle w:val="Tabletext"/>
              <w:rPr>
                <w:lang w:val="en-US" w:eastAsia="zh-CN"/>
              </w:rPr>
            </w:pPr>
            <w:r w:rsidRPr="00A51F26">
              <w:rPr>
                <w:lang w:val="en-US"/>
              </w:rPr>
              <w:t>Statistical, or Statistical and Deterministic</w:t>
            </w:r>
          </w:p>
        </w:tc>
        <w:tc>
          <w:tcPr>
            <w:tcW w:w="2127" w:type="dxa"/>
            <w:shd w:val="clear" w:color="auto" w:fill="auto"/>
            <w:vAlign w:val="center"/>
            <w:hideMark/>
          </w:tcPr>
          <w:p w14:paraId="63D22246" w14:textId="77777777" w:rsidR="007B23C0" w:rsidRPr="00A51F26" w:rsidRDefault="007B23C0" w:rsidP="002834B3">
            <w:pPr>
              <w:pStyle w:val="Tabletext"/>
              <w:rPr>
                <w:lang w:val="en-US" w:eastAsia="zh-CN"/>
              </w:rPr>
            </w:pPr>
          </w:p>
        </w:tc>
        <w:tc>
          <w:tcPr>
            <w:tcW w:w="1984" w:type="dxa"/>
            <w:shd w:val="clear" w:color="auto" w:fill="auto"/>
            <w:vAlign w:val="center"/>
          </w:tcPr>
          <w:p w14:paraId="0F79CCD8" w14:textId="62BE46F3" w:rsidR="007B23C0" w:rsidRPr="00A51F26" w:rsidRDefault="00371756" w:rsidP="002834B3">
            <w:pPr>
              <w:pStyle w:val="Tabletext"/>
              <w:rPr>
                <w:lang w:val="en-US" w:eastAsia="zh-CN"/>
              </w:rPr>
            </w:pPr>
            <w:r w:rsidRPr="00A51F26">
              <w:rPr>
                <w:lang w:val="en-US" w:eastAsia="zh-CN"/>
              </w:rPr>
              <w:t>Statistical (Monte-Carlo)</w:t>
            </w:r>
          </w:p>
        </w:tc>
        <w:tc>
          <w:tcPr>
            <w:tcW w:w="1958" w:type="dxa"/>
          </w:tcPr>
          <w:p w14:paraId="4EB44625" w14:textId="77777777" w:rsidR="007B23C0" w:rsidRPr="00A51F26" w:rsidRDefault="007B23C0" w:rsidP="002834B3">
            <w:pPr>
              <w:pStyle w:val="Tabletext"/>
              <w:rPr>
                <w:lang w:val="en-US" w:eastAsia="zh-CN"/>
              </w:rPr>
            </w:pPr>
          </w:p>
        </w:tc>
      </w:tr>
      <w:tr w:rsidR="007B23C0" w:rsidRPr="00A51F26" w14:paraId="035662D3" w14:textId="77777777" w:rsidTr="00B23F31">
        <w:trPr>
          <w:jc w:val="center"/>
        </w:trPr>
        <w:tc>
          <w:tcPr>
            <w:tcW w:w="9466" w:type="dxa"/>
            <w:gridSpan w:val="4"/>
            <w:shd w:val="clear" w:color="auto" w:fill="auto"/>
            <w:vAlign w:val="center"/>
          </w:tcPr>
          <w:p w14:paraId="4B9DE491" w14:textId="77777777" w:rsidR="007B23C0" w:rsidRPr="00A51F26" w:rsidRDefault="007B23C0" w:rsidP="002834B3">
            <w:pPr>
              <w:pStyle w:val="Tabletext"/>
              <w:rPr>
                <w:b/>
                <w:bCs/>
                <w:lang w:val="en-US" w:eastAsia="zh-CN"/>
              </w:rPr>
            </w:pPr>
            <w:r w:rsidRPr="00A51F26">
              <w:rPr>
                <w:b/>
                <w:bCs/>
                <w:lang w:val="en-US" w:eastAsia="zh-CN"/>
              </w:rPr>
              <w:t>Technical and operational characteristics of IMT systems</w:t>
            </w:r>
          </w:p>
        </w:tc>
      </w:tr>
      <w:tr w:rsidR="007B23C0" w:rsidRPr="00A51F26" w14:paraId="7877CA51" w14:textId="77777777" w:rsidTr="00B23F31">
        <w:trPr>
          <w:jc w:val="center"/>
        </w:trPr>
        <w:tc>
          <w:tcPr>
            <w:tcW w:w="3397" w:type="dxa"/>
            <w:shd w:val="clear" w:color="auto" w:fill="auto"/>
            <w:vAlign w:val="center"/>
            <w:hideMark/>
          </w:tcPr>
          <w:p w14:paraId="2419EB75" w14:textId="77777777" w:rsidR="007B23C0" w:rsidRPr="00A51F26" w:rsidRDefault="007B23C0" w:rsidP="002834B3">
            <w:pPr>
              <w:pStyle w:val="Tabletext"/>
              <w:rPr>
                <w:lang w:val="en-US" w:eastAsia="zh-CN"/>
              </w:rPr>
            </w:pPr>
            <w:r w:rsidRPr="00A51F26">
              <w:rPr>
                <w:lang w:val="en-US" w:eastAsia="zh-CN"/>
              </w:rPr>
              <w:t>Deployment scenario</w:t>
            </w:r>
          </w:p>
        </w:tc>
        <w:tc>
          <w:tcPr>
            <w:tcW w:w="2127" w:type="dxa"/>
            <w:shd w:val="clear" w:color="auto" w:fill="auto"/>
            <w:vAlign w:val="center"/>
            <w:hideMark/>
          </w:tcPr>
          <w:p w14:paraId="116AA0D4" w14:textId="77777777" w:rsidR="007B23C0" w:rsidRPr="00A51F26" w:rsidRDefault="007B23C0" w:rsidP="002834B3">
            <w:pPr>
              <w:pStyle w:val="Tabletext"/>
              <w:rPr>
                <w:highlight w:val="yellow"/>
                <w:lang w:val="en-US" w:eastAsia="zh-CN"/>
              </w:rPr>
            </w:pPr>
          </w:p>
        </w:tc>
        <w:tc>
          <w:tcPr>
            <w:tcW w:w="1984" w:type="dxa"/>
            <w:shd w:val="clear" w:color="auto" w:fill="auto"/>
            <w:vAlign w:val="center"/>
          </w:tcPr>
          <w:p w14:paraId="42A896C5" w14:textId="7D399C21" w:rsidR="007B23C0" w:rsidRPr="00A51F26" w:rsidRDefault="00E2375E" w:rsidP="002834B3">
            <w:pPr>
              <w:pStyle w:val="Tabletext"/>
              <w:rPr>
                <w:lang w:val="en-US" w:eastAsia="zh-CN"/>
              </w:rPr>
            </w:pPr>
            <w:r w:rsidRPr="00A51F26">
              <w:rPr>
                <w:lang w:val="en-US" w:eastAsia="zh-CN"/>
              </w:rPr>
              <w:t>Macro Urban</w:t>
            </w:r>
          </w:p>
        </w:tc>
        <w:tc>
          <w:tcPr>
            <w:tcW w:w="1958" w:type="dxa"/>
          </w:tcPr>
          <w:p w14:paraId="58ACCE6B" w14:textId="77777777" w:rsidR="007B23C0" w:rsidRPr="00A51F26" w:rsidRDefault="007B23C0" w:rsidP="002834B3">
            <w:pPr>
              <w:pStyle w:val="Tabletext"/>
              <w:rPr>
                <w:lang w:val="en-US" w:eastAsia="zh-CN"/>
              </w:rPr>
            </w:pPr>
          </w:p>
        </w:tc>
      </w:tr>
      <w:tr w:rsidR="007B23C0" w:rsidRPr="00A51F26" w14:paraId="0AB758B7" w14:textId="77777777" w:rsidTr="00B23F31">
        <w:trPr>
          <w:jc w:val="center"/>
        </w:trPr>
        <w:tc>
          <w:tcPr>
            <w:tcW w:w="3397" w:type="dxa"/>
            <w:shd w:val="clear" w:color="auto" w:fill="auto"/>
            <w:vAlign w:val="center"/>
            <w:hideMark/>
          </w:tcPr>
          <w:p w14:paraId="26997166" w14:textId="77777777" w:rsidR="007B23C0" w:rsidRPr="00A51F26" w:rsidRDefault="007B23C0" w:rsidP="002834B3">
            <w:pPr>
              <w:pStyle w:val="Tabletext"/>
              <w:rPr>
                <w:lang w:val="en-US" w:eastAsia="zh-CN"/>
              </w:rPr>
            </w:pPr>
            <w:r w:rsidRPr="00A51F26">
              <w:rPr>
                <w:lang w:val="en-US" w:eastAsia="zh-CN"/>
              </w:rPr>
              <w:t>IMT stations</w:t>
            </w:r>
          </w:p>
        </w:tc>
        <w:tc>
          <w:tcPr>
            <w:tcW w:w="2127" w:type="dxa"/>
            <w:shd w:val="clear" w:color="auto" w:fill="auto"/>
            <w:vAlign w:val="center"/>
            <w:hideMark/>
          </w:tcPr>
          <w:p w14:paraId="67A02627" w14:textId="77777777" w:rsidR="007B23C0" w:rsidRPr="00A51F26" w:rsidRDefault="007B23C0" w:rsidP="002834B3">
            <w:pPr>
              <w:pStyle w:val="Tabletext"/>
              <w:rPr>
                <w:highlight w:val="yellow"/>
                <w:lang w:val="en-US" w:eastAsia="zh-CN"/>
              </w:rPr>
            </w:pPr>
          </w:p>
        </w:tc>
        <w:tc>
          <w:tcPr>
            <w:tcW w:w="1984" w:type="dxa"/>
            <w:shd w:val="clear" w:color="auto" w:fill="auto"/>
            <w:vAlign w:val="center"/>
          </w:tcPr>
          <w:p w14:paraId="05E486AE" w14:textId="77777777" w:rsidR="007B23C0" w:rsidRPr="00A51F26" w:rsidRDefault="007B23C0" w:rsidP="002834B3">
            <w:pPr>
              <w:pStyle w:val="Tabletext"/>
              <w:rPr>
                <w:lang w:val="en-US" w:eastAsia="zh-CN"/>
              </w:rPr>
            </w:pPr>
          </w:p>
        </w:tc>
        <w:tc>
          <w:tcPr>
            <w:tcW w:w="1958" w:type="dxa"/>
          </w:tcPr>
          <w:p w14:paraId="2B0F72E4" w14:textId="77777777" w:rsidR="007B23C0" w:rsidRPr="00A51F26" w:rsidRDefault="007B23C0" w:rsidP="002834B3">
            <w:pPr>
              <w:pStyle w:val="Tabletext"/>
              <w:rPr>
                <w:lang w:val="en-US" w:eastAsia="zh-CN"/>
              </w:rPr>
            </w:pPr>
          </w:p>
        </w:tc>
      </w:tr>
      <w:tr w:rsidR="007B23C0" w:rsidRPr="00A51F26" w14:paraId="44A269BA" w14:textId="77777777" w:rsidTr="00B23F31">
        <w:trPr>
          <w:jc w:val="center"/>
        </w:trPr>
        <w:tc>
          <w:tcPr>
            <w:tcW w:w="3397" w:type="dxa"/>
            <w:shd w:val="clear" w:color="auto" w:fill="auto"/>
            <w:vAlign w:val="center"/>
            <w:hideMark/>
          </w:tcPr>
          <w:p w14:paraId="36D32DB0" w14:textId="77777777" w:rsidR="007B23C0" w:rsidRPr="00A51F26" w:rsidRDefault="007B23C0" w:rsidP="002834B3">
            <w:pPr>
              <w:pStyle w:val="Tabletext"/>
              <w:rPr>
                <w:lang w:val="en-US" w:eastAsia="zh-CN"/>
              </w:rPr>
            </w:pPr>
            <w:r w:rsidRPr="00A51F26">
              <w:rPr>
                <w:lang w:val="en-US" w:eastAsia="zh-CN"/>
              </w:rPr>
              <w:t>Method to deploy multiple IMT stations for the aggregated interference analysis over a relatively large area (as applicable to scenarios for the studies)</w:t>
            </w:r>
          </w:p>
        </w:tc>
        <w:tc>
          <w:tcPr>
            <w:tcW w:w="2127" w:type="dxa"/>
            <w:shd w:val="clear" w:color="auto" w:fill="auto"/>
            <w:vAlign w:val="center"/>
            <w:hideMark/>
          </w:tcPr>
          <w:p w14:paraId="5E8C7E2B" w14:textId="77777777" w:rsidR="007B23C0" w:rsidRPr="00A51F26" w:rsidRDefault="007B23C0" w:rsidP="002834B3">
            <w:pPr>
              <w:pStyle w:val="Tabletext"/>
              <w:rPr>
                <w:highlight w:val="yellow"/>
                <w:lang w:val="en-US" w:eastAsia="zh-CN"/>
              </w:rPr>
            </w:pPr>
          </w:p>
        </w:tc>
        <w:tc>
          <w:tcPr>
            <w:tcW w:w="1984" w:type="dxa"/>
            <w:shd w:val="clear" w:color="auto" w:fill="auto"/>
            <w:vAlign w:val="center"/>
          </w:tcPr>
          <w:p w14:paraId="4ED13187" w14:textId="5580A09A" w:rsidR="007B23C0" w:rsidRPr="00A51F26" w:rsidRDefault="00371756" w:rsidP="002834B3">
            <w:pPr>
              <w:pStyle w:val="Tabletext"/>
              <w:rPr>
                <w:lang w:val="en-US" w:eastAsia="zh-CN"/>
              </w:rPr>
            </w:pPr>
            <w:r w:rsidRPr="00A51F26">
              <w:rPr>
                <w:lang w:val="en-US" w:eastAsia="zh-CN"/>
              </w:rPr>
              <w:t>M.2101</w:t>
            </w:r>
          </w:p>
        </w:tc>
        <w:tc>
          <w:tcPr>
            <w:tcW w:w="1958" w:type="dxa"/>
          </w:tcPr>
          <w:p w14:paraId="4A65F630" w14:textId="77777777" w:rsidR="007B23C0" w:rsidRPr="00A51F26" w:rsidRDefault="007B23C0" w:rsidP="002834B3">
            <w:pPr>
              <w:pStyle w:val="Tabletext"/>
              <w:rPr>
                <w:lang w:val="en-US" w:eastAsia="zh-CN"/>
              </w:rPr>
            </w:pPr>
          </w:p>
        </w:tc>
      </w:tr>
      <w:tr w:rsidR="007B23C0" w:rsidRPr="00A51F26" w14:paraId="74AF212C" w14:textId="77777777" w:rsidTr="00B23F31">
        <w:trPr>
          <w:jc w:val="center"/>
        </w:trPr>
        <w:tc>
          <w:tcPr>
            <w:tcW w:w="3397" w:type="dxa"/>
            <w:shd w:val="clear" w:color="auto" w:fill="auto"/>
            <w:vAlign w:val="center"/>
            <w:hideMark/>
          </w:tcPr>
          <w:p w14:paraId="25BED9B1" w14:textId="77777777" w:rsidR="007B23C0" w:rsidRPr="00A51F26" w:rsidRDefault="007B23C0" w:rsidP="002834B3">
            <w:pPr>
              <w:pStyle w:val="Tabletext"/>
              <w:rPr>
                <w:lang w:val="en-US" w:eastAsia="zh-CN"/>
              </w:rPr>
            </w:pPr>
            <w:r w:rsidRPr="00A51F26">
              <w:rPr>
                <w:lang w:val="en-US" w:eastAsia="zh-CN"/>
              </w:rPr>
              <w:t xml:space="preserve">Number of IMT base stations (BS) </w:t>
            </w:r>
          </w:p>
        </w:tc>
        <w:tc>
          <w:tcPr>
            <w:tcW w:w="2127" w:type="dxa"/>
            <w:shd w:val="clear" w:color="auto" w:fill="auto"/>
            <w:vAlign w:val="center"/>
            <w:hideMark/>
          </w:tcPr>
          <w:p w14:paraId="25B21BF7" w14:textId="77777777" w:rsidR="007B23C0" w:rsidRPr="00A51F26" w:rsidRDefault="007B23C0" w:rsidP="002834B3">
            <w:pPr>
              <w:pStyle w:val="Tabletext"/>
              <w:rPr>
                <w:highlight w:val="yellow"/>
                <w:lang w:val="en-US" w:eastAsia="zh-CN"/>
              </w:rPr>
            </w:pPr>
          </w:p>
        </w:tc>
        <w:tc>
          <w:tcPr>
            <w:tcW w:w="1984" w:type="dxa"/>
            <w:shd w:val="clear" w:color="auto" w:fill="auto"/>
            <w:vAlign w:val="center"/>
            <w:hideMark/>
          </w:tcPr>
          <w:p w14:paraId="3CE7A334" w14:textId="3CE74771" w:rsidR="007B23C0" w:rsidRPr="00A51F26" w:rsidRDefault="004721C1" w:rsidP="002834B3">
            <w:pPr>
              <w:pStyle w:val="Tabletext"/>
              <w:rPr>
                <w:lang w:val="en-US" w:eastAsia="zh-CN"/>
              </w:rPr>
            </w:pPr>
            <w:r w:rsidRPr="00A51F26">
              <w:rPr>
                <w:lang w:val="en-US" w:eastAsia="zh-CN"/>
              </w:rPr>
              <w:t>19</w:t>
            </w:r>
            <w:r w:rsidR="0062791F" w:rsidRPr="00A51F26">
              <w:rPr>
                <w:lang w:val="en-US" w:eastAsia="zh-CN"/>
              </w:rPr>
              <w:t xml:space="preserve"> (57 sectors)</w:t>
            </w:r>
          </w:p>
        </w:tc>
        <w:tc>
          <w:tcPr>
            <w:tcW w:w="1958" w:type="dxa"/>
          </w:tcPr>
          <w:p w14:paraId="1D6CDEE1" w14:textId="77777777" w:rsidR="007B23C0" w:rsidRPr="00A51F26" w:rsidRDefault="007B23C0" w:rsidP="002834B3">
            <w:pPr>
              <w:pStyle w:val="Tabletext"/>
              <w:rPr>
                <w:lang w:val="en-US" w:eastAsia="zh-CN"/>
              </w:rPr>
            </w:pPr>
          </w:p>
        </w:tc>
      </w:tr>
      <w:tr w:rsidR="007B23C0" w:rsidRPr="00A51F26" w14:paraId="4D1DAE16" w14:textId="77777777" w:rsidTr="00B23F31">
        <w:trPr>
          <w:jc w:val="center"/>
        </w:trPr>
        <w:tc>
          <w:tcPr>
            <w:tcW w:w="3397" w:type="dxa"/>
            <w:shd w:val="clear" w:color="auto" w:fill="auto"/>
            <w:vAlign w:val="center"/>
            <w:hideMark/>
          </w:tcPr>
          <w:p w14:paraId="7D98811A" w14:textId="77777777" w:rsidR="007B23C0" w:rsidRPr="00A51F26" w:rsidRDefault="007B23C0" w:rsidP="002834B3">
            <w:pPr>
              <w:pStyle w:val="Tabletext"/>
              <w:rPr>
                <w:lang w:val="en-US" w:eastAsia="zh-CN"/>
              </w:rPr>
            </w:pPr>
            <w:r w:rsidRPr="00A51F26">
              <w:rPr>
                <w:lang w:val="en-US" w:eastAsia="zh-CN"/>
              </w:rPr>
              <w:t>Network loading factor for BS and UE (%)</w:t>
            </w:r>
          </w:p>
        </w:tc>
        <w:tc>
          <w:tcPr>
            <w:tcW w:w="2127" w:type="dxa"/>
            <w:shd w:val="clear" w:color="auto" w:fill="auto"/>
            <w:vAlign w:val="center"/>
            <w:hideMark/>
          </w:tcPr>
          <w:p w14:paraId="5E9DC6D8" w14:textId="77777777" w:rsidR="007B23C0" w:rsidRPr="00A51F26" w:rsidRDefault="007B23C0" w:rsidP="002834B3">
            <w:pPr>
              <w:pStyle w:val="Tabletext"/>
              <w:rPr>
                <w:highlight w:val="yellow"/>
                <w:lang w:val="en-US" w:eastAsia="zh-CN"/>
              </w:rPr>
            </w:pPr>
          </w:p>
        </w:tc>
        <w:tc>
          <w:tcPr>
            <w:tcW w:w="1984" w:type="dxa"/>
            <w:shd w:val="clear" w:color="auto" w:fill="auto"/>
            <w:vAlign w:val="center"/>
            <w:hideMark/>
          </w:tcPr>
          <w:p w14:paraId="65E224CF" w14:textId="5905BF12" w:rsidR="007B23C0" w:rsidRPr="00A51F26" w:rsidRDefault="00371756" w:rsidP="002834B3">
            <w:pPr>
              <w:pStyle w:val="Tabletext"/>
              <w:rPr>
                <w:lang w:val="en-US" w:eastAsia="zh-CN"/>
              </w:rPr>
            </w:pPr>
            <w:r w:rsidRPr="00A51F26">
              <w:rPr>
                <w:lang w:val="en-US" w:eastAsia="zh-CN"/>
              </w:rPr>
              <w:t>20%</w:t>
            </w:r>
          </w:p>
        </w:tc>
        <w:tc>
          <w:tcPr>
            <w:tcW w:w="1958" w:type="dxa"/>
          </w:tcPr>
          <w:p w14:paraId="2FAAF8F5" w14:textId="77777777" w:rsidR="007B23C0" w:rsidRPr="00A51F26" w:rsidRDefault="007B23C0" w:rsidP="002834B3">
            <w:pPr>
              <w:pStyle w:val="Tabletext"/>
              <w:rPr>
                <w:lang w:val="en-US" w:eastAsia="zh-CN"/>
              </w:rPr>
            </w:pPr>
          </w:p>
        </w:tc>
      </w:tr>
      <w:tr w:rsidR="007B23C0" w:rsidRPr="00A51F26" w14:paraId="7096306C" w14:textId="77777777" w:rsidTr="00B23F31">
        <w:trPr>
          <w:trHeight w:val="607"/>
          <w:jc w:val="center"/>
        </w:trPr>
        <w:tc>
          <w:tcPr>
            <w:tcW w:w="3397" w:type="dxa"/>
            <w:shd w:val="clear" w:color="auto" w:fill="auto"/>
            <w:vAlign w:val="center"/>
            <w:hideMark/>
          </w:tcPr>
          <w:p w14:paraId="06AC6F17" w14:textId="77777777" w:rsidR="007B23C0" w:rsidRPr="00A51F26" w:rsidRDefault="007B23C0" w:rsidP="002834B3">
            <w:pPr>
              <w:pStyle w:val="Tabletext"/>
              <w:rPr>
                <w:lang w:val="en-US" w:eastAsia="zh-CN"/>
              </w:rPr>
            </w:pPr>
            <w:r w:rsidRPr="00A51F26">
              <w:rPr>
                <w:lang w:val="en-US" w:eastAsia="zh-CN"/>
              </w:rPr>
              <w:t>TDD activity factor (%)</w:t>
            </w:r>
          </w:p>
        </w:tc>
        <w:tc>
          <w:tcPr>
            <w:tcW w:w="2127" w:type="dxa"/>
            <w:shd w:val="clear" w:color="auto" w:fill="auto"/>
            <w:vAlign w:val="center"/>
            <w:hideMark/>
          </w:tcPr>
          <w:p w14:paraId="202E8AD1" w14:textId="77777777" w:rsidR="007B23C0" w:rsidRPr="00A51F26" w:rsidRDefault="007B23C0" w:rsidP="002834B3">
            <w:pPr>
              <w:pStyle w:val="Tabletext"/>
              <w:rPr>
                <w:highlight w:val="yellow"/>
                <w:lang w:val="en-US" w:eastAsia="zh-CN"/>
              </w:rPr>
            </w:pPr>
          </w:p>
        </w:tc>
        <w:tc>
          <w:tcPr>
            <w:tcW w:w="1984" w:type="dxa"/>
            <w:shd w:val="clear" w:color="auto" w:fill="auto"/>
            <w:vAlign w:val="center"/>
          </w:tcPr>
          <w:p w14:paraId="34903603" w14:textId="646946BC" w:rsidR="007B23C0" w:rsidRPr="00A51F26" w:rsidRDefault="00371756" w:rsidP="002834B3">
            <w:pPr>
              <w:pStyle w:val="Tabletext"/>
              <w:rPr>
                <w:lang w:val="en-US" w:eastAsia="zh-CN"/>
              </w:rPr>
            </w:pPr>
            <w:r w:rsidRPr="00A51F26">
              <w:rPr>
                <w:lang w:val="en-US" w:eastAsia="zh-CN"/>
              </w:rPr>
              <w:t>75% for BS and 25% for UE.</w:t>
            </w:r>
          </w:p>
        </w:tc>
        <w:tc>
          <w:tcPr>
            <w:tcW w:w="1958" w:type="dxa"/>
          </w:tcPr>
          <w:p w14:paraId="1B74F2E0" w14:textId="77777777" w:rsidR="007B23C0" w:rsidRPr="00A51F26" w:rsidRDefault="007B23C0" w:rsidP="002834B3">
            <w:pPr>
              <w:pStyle w:val="Tabletext"/>
              <w:rPr>
                <w:lang w:val="en-US" w:eastAsia="zh-CN"/>
              </w:rPr>
            </w:pPr>
          </w:p>
        </w:tc>
      </w:tr>
      <w:tr w:rsidR="007B23C0" w:rsidRPr="00A51F26" w14:paraId="08A93A24" w14:textId="77777777" w:rsidTr="00B23F31">
        <w:trPr>
          <w:jc w:val="center"/>
        </w:trPr>
        <w:tc>
          <w:tcPr>
            <w:tcW w:w="3397" w:type="dxa"/>
            <w:shd w:val="clear" w:color="auto" w:fill="auto"/>
            <w:vAlign w:val="center"/>
            <w:hideMark/>
          </w:tcPr>
          <w:p w14:paraId="4CCC9027" w14:textId="77777777" w:rsidR="007B23C0" w:rsidRPr="00A51F26" w:rsidRDefault="007B23C0" w:rsidP="002834B3">
            <w:pPr>
              <w:pStyle w:val="Tabletext"/>
              <w:rPr>
                <w:lang w:val="en-US" w:eastAsia="zh-CN"/>
              </w:rPr>
            </w:pPr>
            <w:r w:rsidRPr="00A51F26">
              <w:rPr>
                <w:lang w:val="en-US" w:eastAsia="zh-CN"/>
              </w:rPr>
              <w:t xml:space="preserve">UE power control </w:t>
            </w:r>
          </w:p>
        </w:tc>
        <w:tc>
          <w:tcPr>
            <w:tcW w:w="2127" w:type="dxa"/>
            <w:shd w:val="clear" w:color="auto" w:fill="auto"/>
            <w:vAlign w:val="center"/>
            <w:hideMark/>
          </w:tcPr>
          <w:p w14:paraId="5EC2F7D1" w14:textId="77777777" w:rsidR="007B23C0" w:rsidRPr="00A51F26" w:rsidRDefault="007B23C0" w:rsidP="002834B3">
            <w:pPr>
              <w:pStyle w:val="Tabletext"/>
              <w:rPr>
                <w:highlight w:val="yellow"/>
                <w:lang w:val="en-US" w:eastAsia="zh-CN"/>
              </w:rPr>
            </w:pPr>
          </w:p>
        </w:tc>
        <w:tc>
          <w:tcPr>
            <w:tcW w:w="1984" w:type="dxa"/>
            <w:shd w:val="clear" w:color="auto" w:fill="auto"/>
            <w:vAlign w:val="center"/>
          </w:tcPr>
          <w:p w14:paraId="78A9E9FC" w14:textId="004FC409" w:rsidR="007B23C0" w:rsidRPr="00A51F26" w:rsidRDefault="00371756" w:rsidP="002834B3">
            <w:pPr>
              <w:pStyle w:val="Tabletext"/>
              <w:rPr>
                <w:lang w:val="en-US" w:eastAsia="zh-CN"/>
              </w:rPr>
            </w:pPr>
            <w:r w:rsidRPr="00A51F26">
              <w:rPr>
                <w:lang w:val="en-US" w:eastAsia="zh-CN"/>
              </w:rPr>
              <w:t>Yes. Per IMT characteristics and M.2101</w:t>
            </w:r>
          </w:p>
        </w:tc>
        <w:tc>
          <w:tcPr>
            <w:tcW w:w="1958" w:type="dxa"/>
          </w:tcPr>
          <w:p w14:paraId="29825951" w14:textId="77777777" w:rsidR="007B23C0" w:rsidRPr="00A51F26" w:rsidRDefault="007B23C0" w:rsidP="002834B3">
            <w:pPr>
              <w:pStyle w:val="Tabletext"/>
              <w:rPr>
                <w:lang w:val="en-US" w:eastAsia="zh-CN"/>
              </w:rPr>
            </w:pPr>
          </w:p>
        </w:tc>
      </w:tr>
      <w:tr w:rsidR="007B23C0" w:rsidRPr="00A51F26" w14:paraId="581EE615" w14:textId="77777777" w:rsidTr="00B23F31">
        <w:trPr>
          <w:jc w:val="center"/>
        </w:trPr>
        <w:tc>
          <w:tcPr>
            <w:tcW w:w="3397" w:type="dxa"/>
            <w:shd w:val="clear" w:color="auto" w:fill="auto"/>
            <w:vAlign w:val="center"/>
            <w:hideMark/>
          </w:tcPr>
          <w:p w14:paraId="5F283604" w14:textId="77777777" w:rsidR="007B23C0" w:rsidRPr="00A51F26" w:rsidRDefault="007B23C0" w:rsidP="002834B3">
            <w:pPr>
              <w:pStyle w:val="Tabletext"/>
              <w:rPr>
                <w:lang w:val="en-US" w:eastAsia="zh-CN"/>
              </w:rPr>
            </w:pPr>
            <w:r w:rsidRPr="00A51F26">
              <w:rPr>
                <w:lang w:val="en-US" w:eastAsia="zh-CN"/>
              </w:rPr>
              <w:t>UE body loss (dB)</w:t>
            </w:r>
          </w:p>
        </w:tc>
        <w:tc>
          <w:tcPr>
            <w:tcW w:w="2127" w:type="dxa"/>
            <w:shd w:val="clear" w:color="auto" w:fill="auto"/>
            <w:vAlign w:val="center"/>
            <w:hideMark/>
          </w:tcPr>
          <w:p w14:paraId="24AD2779" w14:textId="77777777" w:rsidR="007B23C0" w:rsidRPr="00A51F26" w:rsidRDefault="007B23C0" w:rsidP="002834B3">
            <w:pPr>
              <w:pStyle w:val="Tabletext"/>
              <w:rPr>
                <w:highlight w:val="yellow"/>
                <w:lang w:val="en-US" w:eastAsia="zh-CN"/>
              </w:rPr>
            </w:pPr>
          </w:p>
        </w:tc>
        <w:tc>
          <w:tcPr>
            <w:tcW w:w="1984" w:type="dxa"/>
            <w:shd w:val="clear" w:color="auto" w:fill="auto"/>
            <w:vAlign w:val="center"/>
          </w:tcPr>
          <w:p w14:paraId="21D015A4" w14:textId="77CBE579" w:rsidR="007B23C0" w:rsidRPr="00A51F26" w:rsidRDefault="00371756" w:rsidP="002834B3">
            <w:pPr>
              <w:pStyle w:val="Tabletext"/>
              <w:rPr>
                <w:lang w:val="en-US" w:eastAsia="zh-CN"/>
              </w:rPr>
            </w:pPr>
            <w:r w:rsidRPr="00A51F26">
              <w:rPr>
                <w:lang w:val="en-US" w:eastAsia="zh-CN"/>
              </w:rPr>
              <w:t>4 dB</w:t>
            </w:r>
          </w:p>
        </w:tc>
        <w:tc>
          <w:tcPr>
            <w:tcW w:w="1958" w:type="dxa"/>
          </w:tcPr>
          <w:p w14:paraId="46DAEF66" w14:textId="77777777" w:rsidR="007B23C0" w:rsidRPr="00A51F26" w:rsidRDefault="007B23C0" w:rsidP="002834B3">
            <w:pPr>
              <w:pStyle w:val="Tabletext"/>
              <w:rPr>
                <w:lang w:val="en-US" w:eastAsia="zh-CN"/>
              </w:rPr>
            </w:pPr>
          </w:p>
        </w:tc>
      </w:tr>
      <w:tr w:rsidR="007B23C0" w:rsidRPr="00A51F26" w14:paraId="48F980B2" w14:textId="77777777" w:rsidTr="00B23F31">
        <w:trPr>
          <w:jc w:val="center"/>
        </w:trPr>
        <w:tc>
          <w:tcPr>
            <w:tcW w:w="3397" w:type="dxa"/>
            <w:shd w:val="clear" w:color="auto" w:fill="auto"/>
            <w:vAlign w:val="center"/>
            <w:hideMark/>
          </w:tcPr>
          <w:p w14:paraId="346D9F27" w14:textId="77777777" w:rsidR="007B23C0" w:rsidRPr="00A51F26" w:rsidRDefault="007B23C0" w:rsidP="002834B3">
            <w:pPr>
              <w:pStyle w:val="Tabletext"/>
              <w:rPr>
                <w:lang w:val="en-US" w:eastAsia="zh-CN"/>
              </w:rPr>
            </w:pPr>
            <w:r w:rsidRPr="00A51F26">
              <w:rPr>
                <w:lang w:val="en-US" w:eastAsia="zh-CN"/>
              </w:rPr>
              <w:t>IMT antenna pattern</w:t>
            </w:r>
          </w:p>
        </w:tc>
        <w:tc>
          <w:tcPr>
            <w:tcW w:w="2127" w:type="dxa"/>
            <w:shd w:val="clear" w:color="auto" w:fill="auto"/>
            <w:vAlign w:val="center"/>
            <w:hideMark/>
          </w:tcPr>
          <w:p w14:paraId="6C7F67BE" w14:textId="77777777" w:rsidR="007B23C0" w:rsidRPr="00A51F26" w:rsidRDefault="007B23C0" w:rsidP="002834B3">
            <w:pPr>
              <w:pStyle w:val="Tabletext"/>
              <w:rPr>
                <w:highlight w:val="yellow"/>
                <w:lang w:val="en-US" w:eastAsia="zh-CN"/>
              </w:rPr>
            </w:pPr>
          </w:p>
        </w:tc>
        <w:tc>
          <w:tcPr>
            <w:tcW w:w="1984" w:type="dxa"/>
            <w:shd w:val="clear" w:color="auto" w:fill="auto"/>
            <w:vAlign w:val="center"/>
          </w:tcPr>
          <w:p w14:paraId="6EBBD649" w14:textId="595C999E" w:rsidR="007B23C0" w:rsidRPr="00A51F26" w:rsidRDefault="00DE5230" w:rsidP="002834B3">
            <w:pPr>
              <w:pStyle w:val="Tabletext"/>
              <w:rPr>
                <w:lang w:val="en-US" w:eastAsia="zh-CN"/>
              </w:rPr>
            </w:pPr>
            <w:r w:rsidRPr="00A51F26">
              <w:rPr>
                <w:lang w:val="en-US" w:eastAsia="zh-CN"/>
              </w:rPr>
              <w:t>Extended AAS model (Table 8 of Annex 4.2 of 5D/413)</w:t>
            </w:r>
          </w:p>
        </w:tc>
        <w:tc>
          <w:tcPr>
            <w:tcW w:w="1958" w:type="dxa"/>
          </w:tcPr>
          <w:p w14:paraId="3718AEDF" w14:textId="77777777" w:rsidR="007B23C0" w:rsidRPr="00A51F26" w:rsidRDefault="007B23C0" w:rsidP="002834B3">
            <w:pPr>
              <w:pStyle w:val="Tabletext"/>
              <w:rPr>
                <w:lang w:val="en-US" w:eastAsia="zh-CN"/>
              </w:rPr>
            </w:pPr>
          </w:p>
        </w:tc>
      </w:tr>
      <w:tr w:rsidR="007B23C0" w:rsidRPr="00A51F26" w14:paraId="0BDF2B88" w14:textId="77777777" w:rsidTr="00B23F31">
        <w:trPr>
          <w:jc w:val="center"/>
        </w:trPr>
        <w:tc>
          <w:tcPr>
            <w:tcW w:w="3397" w:type="dxa"/>
            <w:shd w:val="clear" w:color="auto" w:fill="auto"/>
            <w:vAlign w:val="center"/>
          </w:tcPr>
          <w:p w14:paraId="26CB04C8" w14:textId="77777777" w:rsidR="007B23C0" w:rsidRPr="00A51F26" w:rsidRDefault="007B23C0" w:rsidP="002834B3">
            <w:pPr>
              <w:pStyle w:val="Tabletext"/>
              <w:rPr>
                <w:lang w:val="en-US" w:eastAsia="zh-CN"/>
              </w:rPr>
            </w:pPr>
          </w:p>
        </w:tc>
        <w:tc>
          <w:tcPr>
            <w:tcW w:w="2127" w:type="dxa"/>
            <w:shd w:val="clear" w:color="auto" w:fill="auto"/>
            <w:vAlign w:val="center"/>
          </w:tcPr>
          <w:p w14:paraId="55833782" w14:textId="77777777" w:rsidR="007B23C0" w:rsidRPr="00A51F26" w:rsidRDefault="007B23C0" w:rsidP="002834B3">
            <w:pPr>
              <w:pStyle w:val="Tabletext"/>
              <w:rPr>
                <w:highlight w:val="yellow"/>
                <w:lang w:val="en-US" w:eastAsia="zh-CN"/>
              </w:rPr>
            </w:pPr>
          </w:p>
        </w:tc>
        <w:tc>
          <w:tcPr>
            <w:tcW w:w="1984" w:type="dxa"/>
            <w:shd w:val="clear" w:color="auto" w:fill="auto"/>
            <w:vAlign w:val="center"/>
          </w:tcPr>
          <w:p w14:paraId="25F561AD" w14:textId="77777777" w:rsidR="007B23C0" w:rsidRPr="00A51F26" w:rsidRDefault="007B23C0" w:rsidP="002834B3">
            <w:pPr>
              <w:pStyle w:val="Tabletext"/>
              <w:rPr>
                <w:lang w:val="en-US" w:eastAsia="zh-CN"/>
              </w:rPr>
            </w:pPr>
          </w:p>
        </w:tc>
        <w:tc>
          <w:tcPr>
            <w:tcW w:w="1958" w:type="dxa"/>
          </w:tcPr>
          <w:p w14:paraId="51B0EF75" w14:textId="77777777" w:rsidR="007B23C0" w:rsidRPr="00A51F26" w:rsidRDefault="007B23C0" w:rsidP="002834B3">
            <w:pPr>
              <w:pStyle w:val="Tabletext"/>
              <w:rPr>
                <w:lang w:val="en-US" w:eastAsia="zh-CN"/>
              </w:rPr>
            </w:pPr>
          </w:p>
        </w:tc>
      </w:tr>
      <w:tr w:rsidR="007B23C0" w:rsidRPr="00A51F26" w14:paraId="53A8BABB" w14:textId="77777777" w:rsidTr="00B23F31">
        <w:trPr>
          <w:jc w:val="center"/>
        </w:trPr>
        <w:tc>
          <w:tcPr>
            <w:tcW w:w="3397" w:type="dxa"/>
            <w:shd w:val="clear" w:color="auto" w:fill="auto"/>
            <w:vAlign w:val="center"/>
            <w:hideMark/>
          </w:tcPr>
          <w:p w14:paraId="0B95B396" w14:textId="77777777" w:rsidR="007B23C0" w:rsidRPr="00A51F26" w:rsidRDefault="007B23C0" w:rsidP="002834B3">
            <w:pPr>
              <w:pStyle w:val="Tabletext"/>
              <w:rPr>
                <w:lang w:val="en-US" w:eastAsia="zh-CN"/>
              </w:rPr>
            </w:pPr>
            <w:r w:rsidRPr="00A51F26">
              <w:rPr>
                <w:lang w:val="en-US" w:eastAsia="zh-CN"/>
              </w:rPr>
              <w:t>BS antenna mechanical downtilt</w:t>
            </w:r>
          </w:p>
        </w:tc>
        <w:tc>
          <w:tcPr>
            <w:tcW w:w="2127" w:type="dxa"/>
            <w:shd w:val="clear" w:color="auto" w:fill="auto"/>
            <w:vAlign w:val="center"/>
          </w:tcPr>
          <w:p w14:paraId="0917374B" w14:textId="77777777" w:rsidR="007B23C0" w:rsidRPr="00A51F26" w:rsidRDefault="007B23C0" w:rsidP="002834B3">
            <w:pPr>
              <w:pStyle w:val="Tabletext"/>
              <w:rPr>
                <w:highlight w:val="yellow"/>
                <w:lang w:val="en-US" w:eastAsia="zh-CN"/>
              </w:rPr>
            </w:pPr>
          </w:p>
        </w:tc>
        <w:tc>
          <w:tcPr>
            <w:tcW w:w="1984" w:type="dxa"/>
            <w:shd w:val="clear" w:color="auto" w:fill="auto"/>
            <w:vAlign w:val="center"/>
          </w:tcPr>
          <w:p w14:paraId="5AB0FBC1" w14:textId="1662BA1B" w:rsidR="007B23C0" w:rsidRPr="00A51F26" w:rsidRDefault="00371756" w:rsidP="002834B3">
            <w:pPr>
              <w:pStyle w:val="Tabletext"/>
              <w:rPr>
                <w:lang w:val="en-US" w:eastAsia="zh-CN"/>
              </w:rPr>
            </w:pPr>
            <w:r w:rsidRPr="00A51F26">
              <w:rPr>
                <w:lang w:val="en-US" w:eastAsia="zh-CN"/>
              </w:rPr>
              <w:t>-6°</w:t>
            </w:r>
          </w:p>
        </w:tc>
        <w:tc>
          <w:tcPr>
            <w:tcW w:w="1958" w:type="dxa"/>
          </w:tcPr>
          <w:p w14:paraId="52B70E34" w14:textId="77777777" w:rsidR="007B23C0" w:rsidRPr="00A51F26" w:rsidRDefault="007B23C0" w:rsidP="002834B3">
            <w:pPr>
              <w:pStyle w:val="Tabletext"/>
              <w:rPr>
                <w:lang w:val="en-US" w:eastAsia="zh-CN"/>
              </w:rPr>
            </w:pPr>
          </w:p>
        </w:tc>
      </w:tr>
      <w:tr w:rsidR="007B23C0" w:rsidRPr="00A51F26" w14:paraId="1FCC2834" w14:textId="77777777" w:rsidTr="00B23F31">
        <w:trPr>
          <w:jc w:val="center"/>
        </w:trPr>
        <w:tc>
          <w:tcPr>
            <w:tcW w:w="3397" w:type="dxa"/>
            <w:shd w:val="clear" w:color="auto" w:fill="auto"/>
            <w:vAlign w:val="center"/>
            <w:hideMark/>
          </w:tcPr>
          <w:p w14:paraId="0B10699C" w14:textId="77777777" w:rsidR="007B23C0" w:rsidRPr="00A51F26" w:rsidRDefault="007B23C0" w:rsidP="002834B3">
            <w:pPr>
              <w:pStyle w:val="Tabletext"/>
              <w:rPr>
                <w:lang w:val="en-US" w:eastAsia="zh-CN"/>
              </w:rPr>
            </w:pPr>
            <w:r w:rsidRPr="00A51F26">
              <w:rPr>
                <w:lang w:val="en-US" w:eastAsia="zh-CN"/>
              </w:rPr>
              <w:t>UE antenna pointing (if beamforming)</w:t>
            </w:r>
          </w:p>
        </w:tc>
        <w:tc>
          <w:tcPr>
            <w:tcW w:w="2127" w:type="dxa"/>
            <w:shd w:val="clear" w:color="auto" w:fill="auto"/>
            <w:vAlign w:val="center"/>
            <w:hideMark/>
          </w:tcPr>
          <w:p w14:paraId="0FB038B4" w14:textId="77777777" w:rsidR="007B23C0" w:rsidRPr="00A51F26" w:rsidRDefault="007B23C0" w:rsidP="002834B3">
            <w:pPr>
              <w:pStyle w:val="Tabletext"/>
              <w:rPr>
                <w:highlight w:val="yellow"/>
                <w:lang w:val="en-US" w:eastAsia="zh-CN"/>
              </w:rPr>
            </w:pPr>
          </w:p>
        </w:tc>
        <w:tc>
          <w:tcPr>
            <w:tcW w:w="1984" w:type="dxa"/>
            <w:shd w:val="clear" w:color="auto" w:fill="auto"/>
            <w:vAlign w:val="center"/>
          </w:tcPr>
          <w:p w14:paraId="767BF940" w14:textId="4E04FB76" w:rsidR="007B23C0" w:rsidRPr="00A51F26" w:rsidRDefault="00E346BD" w:rsidP="002834B3">
            <w:pPr>
              <w:pStyle w:val="Tabletext"/>
              <w:rPr>
                <w:lang w:val="en-US" w:eastAsia="zh-CN"/>
              </w:rPr>
            </w:pPr>
            <w:r w:rsidRPr="00A51F26">
              <w:rPr>
                <w:lang w:val="en-US" w:eastAsia="zh-CN"/>
              </w:rPr>
              <w:t>N/A</w:t>
            </w:r>
          </w:p>
        </w:tc>
        <w:tc>
          <w:tcPr>
            <w:tcW w:w="1958" w:type="dxa"/>
          </w:tcPr>
          <w:p w14:paraId="0D15FE5F" w14:textId="77777777" w:rsidR="007B23C0" w:rsidRPr="00A51F26" w:rsidRDefault="007B23C0" w:rsidP="002834B3">
            <w:pPr>
              <w:pStyle w:val="Tabletext"/>
              <w:rPr>
                <w:lang w:val="en-US" w:eastAsia="zh-CN"/>
              </w:rPr>
            </w:pPr>
          </w:p>
        </w:tc>
      </w:tr>
      <w:tr w:rsidR="007B23C0" w:rsidRPr="00A51F26" w14:paraId="18CC0F56" w14:textId="77777777" w:rsidTr="00B23F31">
        <w:trPr>
          <w:jc w:val="center"/>
        </w:trPr>
        <w:tc>
          <w:tcPr>
            <w:tcW w:w="3397" w:type="dxa"/>
            <w:shd w:val="clear" w:color="auto" w:fill="auto"/>
            <w:vAlign w:val="center"/>
            <w:hideMark/>
          </w:tcPr>
          <w:p w14:paraId="762F1460" w14:textId="77777777" w:rsidR="007B23C0" w:rsidRPr="00A51F26" w:rsidRDefault="007B23C0" w:rsidP="002834B3">
            <w:pPr>
              <w:pStyle w:val="Tabletext"/>
              <w:rPr>
                <w:lang w:val="en-US" w:eastAsia="zh-CN"/>
              </w:rPr>
            </w:pPr>
            <w:r w:rsidRPr="00A51F26">
              <w:rPr>
                <w:lang w:val="en-US" w:eastAsia="zh-CN"/>
              </w:rPr>
              <w:t>UE distribution</w:t>
            </w:r>
          </w:p>
        </w:tc>
        <w:tc>
          <w:tcPr>
            <w:tcW w:w="2127" w:type="dxa"/>
            <w:shd w:val="clear" w:color="auto" w:fill="auto"/>
            <w:vAlign w:val="center"/>
            <w:hideMark/>
          </w:tcPr>
          <w:p w14:paraId="072D9DA4" w14:textId="77777777" w:rsidR="007B23C0" w:rsidRPr="00A51F26" w:rsidRDefault="007B23C0" w:rsidP="002834B3">
            <w:pPr>
              <w:pStyle w:val="Tabletext"/>
              <w:rPr>
                <w:highlight w:val="yellow"/>
                <w:lang w:val="en-US" w:eastAsia="zh-CN"/>
              </w:rPr>
            </w:pPr>
          </w:p>
        </w:tc>
        <w:tc>
          <w:tcPr>
            <w:tcW w:w="1984" w:type="dxa"/>
            <w:shd w:val="clear" w:color="auto" w:fill="auto"/>
            <w:vAlign w:val="center"/>
          </w:tcPr>
          <w:p w14:paraId="7C054C4E" w14:textId="58E1F4F1" w:rsidR="007B23C0" w:rsidRPr="00A51F26" w:rsidRDefault="00E346BD" w:rsidP="002834B3">
            <w:pPr>
              <w:pStyle w:val="Tabletext"/>
              <w:rPr>
                <w:lang w:val="en-US" w:eastAsia="zh-CN"/>
              </w:rPr>
            </w:pPr>
            <w:r w:rsidRPr="00A51F26">
              <w:rPr>
                <w:lang w:val="en-US" w:eastAsia="zh-CN"/>
              </w:rPr>
              <w:t>Uniform</w:t>
            </w:r>
          </w:p>
        </w:tc>
        <w:tc>
          <w:tcPr>
            <w:tcW w:w="1958" w:type="dxa"/>
          </w:tcPr>
          <w:p w14:paraId="724D4139" w14:textId="77777777" w:rsidR="007B23C0" w:rsidRPr="00A51F26" w:rsidRDefault="007B23C0" w:rsidP="002834B3">
            <w:pPr>
              <w:pStyle w:val="Tabletext"/>
              <w:rPr>
                <w:lang w:val="en-US" w:eastAsia="zh-CN"/>
              </w:rPr>
            </w:pPr>
          </w:p>
        </w:tc>
      </w:tr>
      <w:bookmarkStart w:id="10" w:name="RANGE!A23"/>
      <w:tr w:rsidR="007B23C0" w:rsidRPr="00A51F26" w14:paraId="4CA521C5" w14:textId="77777777" w:rsidTr="00B23F31">
        <w:trPr>
          <w:jc w:val="center"/>
        </w:trPr>
        <w:tc>
          <w:tcPr>
            <w:tcW w:w="3397" w:type="dxa"/>
            <w:shd w:val="clear" w:color="auto" w:fill="auto"/>
            <w:vAlign w:val="center"/>
            <w:hideMark/>
          </w:tcPr>
          <w:p w14:paraId="677511CF" w14:textId="77777777" w:rsidR="007B23C0" w:rsidRPr="00A51F26" w:rsidRDefault="007B23C0" w:rsidP="002834B3">
            <w:pPr>
              <w:pStyle w:val="Tabletext"/>
              <w:rPr>
                <w:color w:val="0563C1"/>
                <w:lang w:val="en-US" w:eastAsia="zh-CN"/>
              </w:rPr>
            </w:pPr>
            <w:r w:rsidRPr="00A51F26">
              <w:rPr>
                <w:lang w:val="en-US" w:eastAsia="zh-CN"/>
              </w:rPr>
              <w:fldChar w:fldCharType="begin"/>
            </w:r>
            <w:r w:rsidRPr="00A51F26">
              <w:rPr>
                <w:lang w:val="en-US" w:eastAsia="zh-CN"/>
              </w:rPr>
              <w:instrText xml:space="preserve"> HYPERLINK "" \l "RANGE!_ftn1" </w:instrText>
            </w:r>
            <w:r w:rsidRPr="00A51F26">
              <w:rPr>
                <w:lang w:val="en-US" w:eastAsia="zh-CN"/>
              </w:rPr>
            </w:r>
            <w:r w:rsidRPr="00A51F26">
              <w:rPr>
                <w:lang w:val="en-US" w:eastAsia="zh-CN"/>
              </w:rPr>
              <w:fldChar w:fldCharType="separate"/>
            </w:r>
            <w:r w:rsidRPr="00A51F26">
              <w:rPr>
                <w:lang w:val="en-US" w:eastAsia="zh-CN"/>
              </w:rPr>
              <w:t>User equipment density for terminals that are transmitting simultaneously</w:t>
            </w:r>
            <w:r w:rsidRPr="00A51F26">
              <w:rPr>
                <w:lang w:val="en-US" w:eastAsia="zh-CN"/>
              </w:rPr>
              <w:fldChar w:fldCharType="end"/>
            </w:r>
            <w:bookmarkEnd w:id="10"/>
          </w:p>
        </w:tc>
        <w:tc>
          <w:tcPr>
            <w:tcW w:w="2127" w:type="dxa"/>
            <w:shd w:val="clear" w:color="auto" w:fill="auto"/>
            <w:vAlign w:val="center"/>
            <w:hideMark/>
          </w:tcPr>
          <w:p w14:paraId="11391B8D" w14:textId="77777777" w:rsidR="007B23C0" w:rsidRPr="00A51F26" w:rsidRDefault="007B23C0" w:rsidP="002834B3">
            <w:pPr>
              <w:pStyle w:val="Tabletext"/>
              <w:rPr>
                <w:highlight w:val="yellow"/>
                <w:lang w:val="en-US" w:eastAsia="zh-CN"/>
              </w:rPr>
            </w:pPr>
          </w:p>
        </w:tc>
        <w:tc>
          <w:tcPr>
            <w:tcW w:w="1984" w:type="dxa"/>
            <w:shd w:val="clear" w:color="auto" w:fill="auto"/>
            <w:vAlign w:val="center"/>
          </w:tcPr>
          <w:p w14:paraId="56E2B288" w14:textId="6F7E9D56" w:rsidR="007B23C0" w:rsidRPr="00A51F26" w:rsidRDefault="00E346BD" w:rsidP="002834B3">
            <w:pPr>
              <w:pStyle w:val="Tabletext"/>
              <w:rPr>
                <w:lang w:val="en-US" w:eastAsia="zh-CN"/>
              </w:rPr>
            </w:pPr>
            <w:r w:rsidRPr="00A51F26">
              <w:rPr>
                <w:lang w:val="en-US" w:eastAsia="zh-CN"/>
              </w:rPr>
              <w:t>3</w:t>
            </w:r>
          </w:p>
        </w:tc>
        <w:tc>
          <w:tcPr>
            <w:tcW w:w="1958" w:type="dxa"/>
          </w:tcPr>
          <w:p w14:paraId="51E80218" w14:textId="77777777" w:rsidR="007B23C0" w:rsidRPr="00A51F26" w:rsidRDefault="007B23C0" w:rsidP="002834B3">
            <w:pPr>
              <w:pStyle w:val="Tabletext"/>
              <w:rPr>
                <w:lang w:val="en-US" w:eastAsia="zh-CN"/>
              </w:rPr>
            </w:pPr>
          </w:p>
        </w:tc>
      </w:tr>
      <w:tr w:rsidR="007B23C0" w:rsidRPr="00A51F26" w14:paraId="777F8BE5" w14:textId="77777777" w:rsidTr="00B23F31">
        <w:trPr>
          <w:jc w:val="center"/>
        </w:trPr>
        <w:tc>
          <w:tcPr>
            <w:tcW w:w="9466" w:type="dxa"/>
            <w:gridSpan w:val="4"/>
            <w:shd w:val="clear" w:color="auto" w:fill="auto"/>
            <w:vAlign w:val="center"/>
          </w:tcPr>
          <w:p w14:paraId="760D4E3E" w14:textId="2CB4EF4F" w:rsidR="00806CCA" w:rsidRPr="00B23F31" w:rsidRDefault="007B23C0" w:rsidP="00B23F31">
            <w:pPr>
              <w:pStyle w:val="Tabletext"/>
              <w:rPr>
                <w:b/>
                <w:bCs/>
                <w:lang w:val="en-US" w:eastAsia="zh-CN"/>
              </w:rPr>
            </w:pPr>
            <w:r w:rsidRPr="00A51F26">
              <w:rPr>
                <w:b/>
                <w:bCs/>
                <w:lang w:val="en-US" w:eastAsia="zh-CN"/>
              </w:rPr>
              <w:t>Technical and operational characteristics (of incumbent service)</w:t>
            </w:r>
          </w:p>
        </w:tc>
      </w:tr>
      <w:tr w:rsidR="00B23F31" w:rsidRPr="00FD1B65" w14:paraId="10DE2BE2" w14:textId="77777777" w:rsidTr="00B23F31">
        <w:trPr>
          <w:jc w:val="center"/>
        </w:trPr>
        <w:tc>
          <w:tcPr>
            <w:tcW w:w="3397" w:type="dxa"/>
            <w:shd w:val="clear" w:color="auto" w:fill="auto"/>
            <w:vAlign w:val="center"/>
          </w:tcPr>
          <w:p w14:paraId="1E4648BF" w14:textId="77777777" w:rsidR="00B23F31" w:rsidRPr="00FD1B65" w:rsidRDefault="00B23F31" w:rsidP="00B23F31">
            <w:pPr>
              <w:pStyle w:val="Tabletext"/>
              <w:rPr>
                <w:highlight w:val="yellow"/>
                <w:lang w:eastAsia="zh-CN"/>
              </w:rPr>
            </w:pPr>
            <w:r w:rsidRPr="00331752">
              <w:rPr>
                <w:rFonts w:hint="eastAsia"/>
                <w:lang w:eastAsia="ja-JP"/>
              </w:rPr>
              <w:t>Feeder/</w:t>
            </w:r>
            <w:r w:rsidRPr="00331752">
              <w:rPr>
                <w:lang w:eastAsia="ja-JP"/>
              </w:rPr>
              <w:t>Multiplexer</w:t>
            </w:r>
            <w:r w:rsidRPr="00331752">
              <w:rPr>
                <w:rFonts w:hint="eastAsia"/>
                <w:lang w:eastAsia="ja-JP"/>
              </w:rPr>
              <w:t xml:space="preserve"> </w:t>
            </w:r>
            <w:r>
              <w:rPr>
                <w:rFonts w:hint="eastAsia"/>
                <w:lang w:eastAsia="ja-JP"/>
              </w:rPr>
              <w:t>l</w:t>
            </w:r>
            <w:r w:rsidRPr="00331752">
              <w:rPr>
                <w:rFonts w:hint="eastAsia"/>
                <w:lang w:eastAsia="ja-JP"/>
              </w:rPr>
              <w:t>os</w:t>
            </w:r>
            <w:r w:rsidRPr="00FD1B65">
              <w:rPr>
                <w:lang w:eastAsia="zh-CN"/>
              </w:rPr>
              <w:t>s (dB)</w:t>
            </w:r>
          </w:p>
        </w:tc>
        <w:tc>
          <w:tcPr>
            <w:tcW w:w="2127" w:type="dxa"/>
            <w:shd w:val="clear" w:color="auto" w:fill="auto"/>
            <w:vAlign w:val="center"/>
          </w:tcPr>
          <w:p w14:paraId="0961922B" w14:textId="77777777" w:rsidR="00B23F31" w:rsidRPr="00FD1B65" w:rsidRDefault="00B23F31" w:rsidP="00B23F31">
            <w:pPr>
              <w:pStyle w:val="Tabletext"/>
              <w:rPr>
                <w:highlight w:val="yellow"/>
                <w:lang w:eastAsia="zh-CN"/>
              </w:rPr>
            </w:pPr>
          </w:p>
        </w:tc>
        <w:tc>
          <w:tcPr>
            <w:tcW w:w="1984" w:type="dxa"/>
            <w:shd w:val="clear" w:color="auto" w:fill="auto"/>
            <w:vAlign w:val="center"/>
          </w:tcPr>
          <w:p w14:paraId="7F3139BC" w14:textId="06502AB6" w:rsidR="00B23F31" w:rsidRPr="00FD1B65" w:rsidRDefault="00B23F31" w:rsidP="00B23F31">
            <w:pPr>
              <w:pStyle w:val="Tabletext"/>
              <w:rPr>
                <w:lang w:eastAsia="zh-CN"/>
              </w:rPr>
            </w:pPr>
            <w:r>
              <w:rPr>
                <w:rFonts w:hint="eastAsia"/>
                <w:lang w:eastAsia="ja-JP"/>
              </w:rPr>
              <w:t>3</w:t>
            </w:r>
          </w:p>
        </w:tc>
        <w:tc>
          <w:tcPr>
            <w:tcW w:w="1958" w:type="dxa"/>
            <w:vAlign w:val="center"/>
          </w:tcPr>
          <w:p w14:paraId="1E80D164" w14:textId="4F78FBDC" w:rsidR="00B23F31" w:rsidRPr="00FD1B65" w:rsidRDefault="00B23F31" w:rsidP="00B23F31">
            <w:pPr>
              <w:pStyle w:val="Tabletext"/>
              <w:rPr>
                <w:lang w:eastAsia="zh-CN"/>
              </w:rPr>
            </w:pPr>
          </w:p>
        </w:tc>
      </w:tr>
      <w:tr w:rsidR="00B23F31" w:rsidRPr="00FD1B65" w14:paraId="4AD79764" w14:textId="77777777" w:rsidTr="00B23F31">
        <w:trPr>
          <w:jc w:val="center"/>
        </w:trPr>
        <w:tc>
          <w:tcPr>
            <w:tcW w:w="3397" w:type="dxa"/>
            <w:shd w:val="clear" w:color="auto" w:fill="auto"/>
            <w:vAlign w:val="center"/>
          </w:tcPr>
          <w:p w14:paraId="36464782" w14:textId="77777777" w:rsidR="00B23F31" w:rsidRPr="00FD1B65" w:rsidRDefault="00B23F31" w:rsidP="00B23F31">
            <w:pPr>
              <w:pStyle w:val="Tabletext"/>
              <w:rPr>
                <w:highlight w:val="yellow"/>
                <w:lang w:eastAsia="zh-CN"/>
              </w:rPr>
            </w:pPr>
            <w:r>
              <w:rPr>
                <w:rFonts w:hint="eastAsia"/>
                <w:lang w:eastAsia="ja-JP"/>
              </w:rPr>
              <w:t>Antenna gain (dBi)</w:t>
            </w:r>
          </w:p>
        </w:tc>
        <w:tc>
          <w:tcPr>
            <w:tcW w:w="2127" w:type="dxa"/>
            <w:shd w:val="clear" w:color="auto" w:fill="auto"/>
            <w:vAlign w:val="center"/>
          </w:tcPr>
          <w:p w14:paraId="413207DD" w14:textId="77777777" w:rsidR="00B23F31" w:rsidRPr="00FD1B65" w:rsidRDefault="00B23F31" w:rsidP="00B23F31">
            <w:pPr>
              <w:pStyle w:val="Tabletext"/>
              <w:rPr>
                <w:highlight w:val="yellow"/>
                <w:lang w:eastAsia="zh-CN"/>
              </w:rPr>
            </w:pPr>
          </w:p>
        </w:tc>
        <w:tc>
          <w:tcPr>
            <w:tcW w:w="1984" w:type="dxa"/>
            <w:shd w:val="clear" w:color="auto" w:fill="auto"/>
            <w:vAlign w:val="center"/>
          </w:tcPr>
          <w:p w14:paraId="3764879F" w14:textId="2790D6F4" w:rsidR="00B23F31" w:rsidRPr="00FD1B65" w:rsidRDefault="00B23F31" w:rsidP="00B23F31">
            <w:pPr>
              <w:pStyle w:val="Tabletext"/>
              <w:rPr>
                <w:lang w:eastAsia="zh-CN"/>
              </w:rPr>
            </w:pPr>
            <w:r>
              <w:rPr>
                <w:rFonts w:hint="eastAsia"/>
                <w:lang w:eastAsia="ja-JP"/>
              </w:rPr>
              <w:t>22.5</w:t>
            </w:r>
          </w:p>
        </w:tc>
        <w:tc>
          <w:tcPr>
            <w:tcW w:w="1958" w:type="dxa"/>
            <w:vAlign w:val="center"/>
          </w:tcPr>
          <w:p w14:paraId="26B3AC8A" w14:textId="6F630D6C" w:rsidR="00B23F31" w:rsidRPr="00FD1B65" w:rsidRDefault="00B23F31" w:rsidP="00B23F31">
            <w:pPr>
              <w:pStyle w:val="Tabletext"/>
              <w:rPr>
                <w:lang w:eastAsia="zh-CN"/>
              </w:rPr>
            </w:pPr>
          </w:p>
        </w:tc>
      </w:tr>
      <w:tr w:rsidR="00B23F31" w:rsidRPr="00FD1B65" w14:paraId="69F147D3" w14:textId="77777777" w:rsidTr="00B23F31">
        <w:trPr>
          <w:jc w:val="center"/>
        </w:trPr>
        <w:tc>
          <w:tcPr>
            <w:tcW w:w="3397" w:type="dxa"/>
            <w:shd w:val="clear" w:color="auto" w:fill="auto"/>
            <w:vAlign w:val="center"/>
          </w:tcPr>
          <w:p w14:paraId="4BD7B5F6" w14:textId="77777777" w:rsidR="00B23F31" w:rsidRPr="00FD1B65" w:rsidRDefault="00B23F31" w:rsidP="00B23F31">
            <w:pPr>
              <w:pStyle w:val="Tabletext"/>
              <w:rPr>
                <w:highlight w:val="yellow"/>
                <w:lang w:eastAsia="zh-CN"/>
              </w:rPr>
            </w:pPr>
            <w:r>
              <w:rPr>
                <w:rFonts w:hint="eastAsia"/>
                <w:lang w:eastAsia="ja-JP"/>
              </w:rPr>
              <w:t>Antenna pattern</w:t>
            </w:r>
          </w:p>
        </w:tc>
        <w:tc>
          <w:tcPr>
            <w:tcW w:w="2127" w:type="dxa"/>
            <w:shd w:val="clear" w:color="auto" w:fill="auto"/>
            <w:vAlign w:val="center"/>
          </w:tcPr>
          <w:p w14:paraId="2D6C8804" w14:textId="77777777" w:rsidR="00B23F31" w:rsidRPr="00FD1B65" w:rsidRDefault="00B23F31" w:rsidP="00B23F31">
            <w:pPr>
              <w:pStyle w:val="Tabletext"/>
              <w:rPr>
                <w:highlight w:val="yellow"/>
                <w:lang w:eastAsia="zh-CN"/>
              </w:rPr>
            </w:pPr>
          </w:p>
        </w:tc>
        <w:tc>
          <w:tcPr>
            <w:tcW w:w="1984" w:type="dxa"/>
            <w:shd w:val="clear" w:color="auto" w:fill="auto"/>
            <w:vAlign w:val="center"/>
          </w:tcPr>
          <w:p w14:paraId="37AADFA4" w14:textId="7A931512" w:rsidR="00B23F31" w:rsidRPr="00FD1B65" w:rsidRDefault="00B23F31" w:rsidP="00B23F31">
            <w:pPr>
              <w:pStyle w:val="Tabletext"/>
              <w:rPr>
                <w:lang w:eastAsia="zh-CN"/>
              </w:rPr>
            </w:pPr>
            <w:r>
              <w:rPr>
                <w:rFonts w:hint="eastAsia"/>
                <w:lang w:eastAsia="ja-JP"/>
              </w:rPr>
              <w:t>Recommendation ITU-R F.1245</w:t>
            </w:r>
          </w:p>
        </w:tc>
        <w:tc>
          <w:tcPr>
            <w:tcW w:w="1958" w:type="dxa"/>
            <w:vAlign w:val="center"/>
          </w:tcPr>
          <w:p w14:paraId="3152566B" w14:textId="4606D4A8" w:rsidR="00B23F31" w:rsidRPr="00FD1B65" w:rsidRDefault="00B23F31" w:rsidP="00B23F31">
            <w:pPr>
              <w:pStyle w:val="Tabletext"/>
              <w:rPr>
                <w:lang w:eastAsia="zh-CN"/>
              </w:rPr>
            </w:pPr>
          </w:p>
        </w:tc>
      </w:tr>
      <w:tr w:rsidR="00B23F31" w:rsidRPr="00FD1B65" w14:paraId="06055AE1" w14:textId="77777777" w:rsidTr="00B23F31">
        <w:trPr>
          <w:jc w:val="center"/>
        </w:trPr>
        <w:tc>
          <w:tcPr>
            <w:tcW w:w="3397" w:type="dxa"/>
            <w:shd w:val="clear" w:color="auto" w:fill="auto"/>
            <w:vAlign w:val="center"/>
          </w:tcPr>
          <w:p w14:paraId="685D4F54" w14:textId="77777777" w:rsidR="00B23F31" w:rsidRPr="00FD1B65" w:rsidRDefault="00B23F31" w:rsidP="00B23F31">
            <w:pPr>
              <w:pStyle w:val="Tabletext"/>
              <w:rPr>
                <w:highlight w:val="yellow"/>
                <w:lang w:eastAsia="zh-CN"/>
              </w:rPr>
            </w:pPr>
            <w:r>
              <w:rPr>
                <w:rFonts w:hint="eastAsia"/>
                <w:lang w:eastAsia="ja-JP"/>
              </w:rPr>
              <w:t>Antenna elevation</w:t>
            </w:r>
          </w:p>
        </w:tc>
        <w:tc>
          <w:tcPr>
            <w:tcW w:w="2127" w:type="dxa"/>
            <w:shd w:val="clear" w:color="auto" w:fill="auto"/>
            <w:vAlign w:val="center"/>
          </w:tcPr>
          <w:p w14:paraId="5EB93603" w14:textId="77777777" w:rsidR="00B23F31" w:rsidRPr="00FD1B65" w:rsidRDefault="00B23F31" w:rsidP="00B23F31">
            <w:pPr>
              <w:pStyle w:val="Tabletext"/>
              <w:rPr>
                <w:highlight w:val="yellow"/>
                <w:lang w:eastAsia="zh-CN"/>
              </w:rPr>
            </w:pPr>
          </w:p>
        </w:tc>
        <w:tc>
          <w:tcPr>
            <w:tcW w:w="1984" w:type="dxa"/>
            <w:shd w:val="clear" w:color="auto" w:fill="auto"/>
            <w:vAlign w:val="center"/>
          </w:tcPr>
          <w:p w14:paraId="0259EB88" w14:textId="7FBB3128" w:rsidR="00B23F31" w:rsidRPr="00FD1B65" w:rsidRDefault="00B23F31" w:rsidP="00B23F31">
            <w:pPr>
              <w:pStyle w:val="Tabletext"/>
              <w:rPr>
                <w:lang w:eastAsia="zh-CN"/>
              </w:rPr>
            </w:pPr>
            <w:r>
              <w:rPr>
                <w:lang w:eastAsia="ja-JP"/>
              </w:rPr>
              <w:t>0</w:t>
            </w:r>
          </w:p>
        </w:tc>
        <w:tc>
          <w:tcPr>
            <w:tcW w:w="1958" w:type="dxa"/>
            <w:vAlign w:val="center"/>
          </w:tcPr>
          <w:p w14:paraId="4EAD7D19" w14:textId="0F190494" w:rsidR="00B23F31" w:rsidRPr="00FD1B65" w:rsidRDefault="00B23F31" w:rsidP="00B23F31">
            <w:pPr>
              <w:pStyle w:val="Tabletext"/>
              <w:rPr>
                <w:lang w:eastAsia="zh-CN"/>
              </w:rPr>
            </w:pPr>
          </w:p>
        </w:tc>
      </w:tr>
      <w:tr w:rsidR="00B23F31" w:rsidRPr="00FD1B65" w14:paraId="01647105" w14:textId="77777777" w:rsidTr="00B23F31">
        <w:trPr>
          <w:jc w:val="center"/>
        </w:trPr>
        <w:tc>
          <w:tcPr>
            <w:tcW w:w="3397" w:type="dxa"/>
            <w:shd w:val="clear" w:color="auto" w:fill="auto"/>
            <w:vAlign w:val="center"/>
          </w:tcPr>
          <w:p w14:paraId="167C1054" w14:textId="77777777" w:rsidR="00B23F31" w:rsidRPr="00FD1B65" w:rsidRDefault="00B23F31" w:rsidP="00B23F31">
            <w:pPr>
              <w:pStyle w:val="Tabletext"/>
              <w:rPr>
                <w:highlight w:val="yellow"/>
                <w:lang w:eastAsia="zh-CN"/>
              </w:rPr>
            </w:pPr>
            <w:r>
              <w:rPr>
                <w:rFonts w:hint="eastAsia"/>
                <w:lang w:eastAsia="ja-JP"/>
              </w:rPr>
              <w:t>Receiver noise figure (dB)</w:t>
            </w:r>
          </w:p>
        </w:tc>
        <w:tc>
          <w:tcPr>
            <w:tcW w:w="2127" w:type="dxa"/>
            <w:shd w:val="clear" w:color="auto" w:fill="auto"/>
            <w:vAlign w:val="center"/>
          </w:tcPr>
          <w:p w14:paraId="308B2EE6" w14:textId="77777777" w:rsidR="00B23F31" w:rsidRPr="00FD1B65" w:rsidRDefault="00B23F31" w:rsidP="00B23F31">
            <w:pPr>
              <w:pStyle w:val="Tabletext"/>
              <w:rPr>
                <w:highlight w:val="yellow"/>
                <w:lang w:eastAsia="zh-CN"/>
              </w:rPr>
            </w:pPr>
          </w:p>
        </w:tc>
        <w:tc>
          <w:tcPr>
            <w:tcW w:w="1984" w:type="dxa"/>
            <w:shd w:val="clear" w:color="auto" w:fill="auto"/>
            <w:vAlign w:val="center"/>
          </w:tcPr>
          <w:p w14:paraId="6692F2DD" w14:textId="41CA02D7" w:rsidR="00B23F31" w:rsidRPr="00FD1B65" w:rsidRDefault="00B23F31" w:rsidP="00B23F31">
            <w:pPr>
              <w:pStyle w:val="Tabletext"/>
              <w:rPr>
                <w:lang w:eastAsia="zh-CN"/>
              </w:rPr>
            </w:pPr>
            <w:r>
              <w:rPr>
                <w:rFonts w:hint="eastAsia"/>
                <w:lang w:eastAsia="ja-JP"/>
              </w:rPr>
              <w:t>6.5</w:t>
            </w:r>
          </w:p>
        </w:tc>
        <w:tc>
          <w:tcPr>
            <w:tcW w:w="1958" w:type="dxa"/>
            <w:vAlign w:val="center"/>
          </w:tcPr>
          <w:p w14:paraId="2E7BE2CD" w14:textId="4DD1698C" w:rsidR="00B23F31" w:rsidRPr="00FD1B65" w:rsidRDefault="00B23F31" w:rsidP="00B23F31">
            <w:pPr>
              <w:pStyle w:val="Tabletext"/>
              <w:rPr>
                <w:lang w:eastAsia="zh-CN"/>
              </w:rPr>
            </w:pPr>
          </w:p>
        </w:tc>
      </w:tr>
      <w:tr w:rsidR="00B23F31" w:rsidRPr="00FD1B65" w14:paraId="0C41F0EA" w14:textId="77777777" w:rsidTr="00B23F31">
        <w:trPr>
          <w:jc w:val="center"/>
        </w:trPr>
        <w:tc>
          <w:tcPr>
            <w:tcW w:w="3397" w:type="dxa"/>
            <w:shd w:val="clear" w:color="auto" w:fill="auto"/>
            <w:vAlign w:val="center"/>
          </w:tcPr>
          <w:p w14:paraId="0550780E" w14:textId="77777777" w:rsidR="00B23F31" w:rsidRPr="00FD1B65" w:rsidRDefault="00B23F31" w:rsidP="00B23F31">
            <w:pPr>
              <w:pStyle w:val="Tabletext"/>
              <w:rPr>
                <w:highlight w:val="yellow"/>
                <w:lang w:eastAsia="zh-CN"/>
              </w:rPr>
            </w:pPr>
            <w:r>
              <w:rPr>
                <w:rFonts w:hint="eastAsia"/>
                <w:lang w:eastAsia="ja-JP"/>
              </w:rPr>
              <w:t>Antenna height (m)</w:t>
            </w:r>
          </w:p>
        </w:tc>
        <w:tc>
          <w:tcPr>
            <w:tcW w:w="2127" w:type="dxa"/>
            <w:shd w:val="clear" w:color="auto" w:fill="auto"/>
            <w:vAlign w:val="center"/>
          </w:tcPr>
          <w:p w14:paraId="7B1A5D24" w14:textId="77777777" w:rsidR="00B23F31" w:rsidRPr="00FD1B65" w:rsidRDefault="00B23F31" w:rsidP="00B23F31">
            <w:pPr>
              <w:pStyle w:val="Tabletext"/>
              <w:rPr>
                <w:highlight w:val="yellow"/>
                <w:lang w:eastAsia="zh-CN"/>
              </w:rPr>
            </w:pPr>
          </w:p>
        </w:tc>
        <w:tc>
          <w:tcPr>
            <w:tcW w:w="1984" w:type="dxa"/>
            <w:shd w:val="clear" w:color="auto" w:fill="auto"/>
            <w:vAlign w:val="center"/>
          </w:tcPr>
          <w:p w14:paraId="3D74324A" w14:textId="7DDBD96E" w:rsidR="00B23F31" w:rsidRPr="00FD1B65" w:rsidRDefault="00B23F31" w:rsidP="00B23F31">
            <w:pPr>
              <w:pStyle w:val="Tabletext"/>
              <w:rPr>
                <w:lang w:eastAsia="zh-CN"/>
              </w:rPr>
            </w:pPr>
            <w:r>
              <w:rPr>
                <w:rFonts w:hint="eastAsia"/>
                <w:lang w:eastAsia="ja-JP"/>
              </w:rPr>
              <w:t>39</w:t>
            </w:r>
          </w:p>
        </w:tc>
        <w:tc>
          <w:tcPr>
            <w:tcW w:w="1958" w:type="dxa"/>
            <w:vAlign w:val="center"/>
          </w:tcPr>
          <w:p w14:paraId="2DBA1AE0" w14:textId="75CAFA25" w:rsidR="00B23F31" w:rsidRPr="00FD1B65" w:rsidRDefault="00B23F31" w:rsidP="00B23F31">
            <w:pPr>
              <w:pStyle w:val="Tabletext"/>
              <w:rPr>
                <w:lang w:eastAsia="zh-CN"/>
              </w:rPr>
            </w:pPr>
          </w:p>
        </w:tc>
      </w:tr>
      <w:tr w:rsidR="00B23F31" w:rsidRPr="00FD1B65" w14:paraId="18AC765F" w14:textId="77777777" w:rsidTr="00B23F31">
        <w:trPr>
          <w:jc w:val="center"/>
        </w:trPr>
        <w:tc>
          <w:tcPr>
            <w:tcW w:w="3397" w:type="dxa"/>
            <w:shd w:val="clear" w:color="auto" w:fill="auto"/>
            <w:vAlign w:val="center"/>
          </w:tcPr>
          <w:p w14:paraId="58C3E99E" w14:textId="77777777" w:rsidR="00B23F31" w:rsidRPr="00FD1B65" w:rsidRDefault="00B23F31" w:rsidP="00B23F31">
            <w:pPr>
              <w:pStyle w:val="Tabletext"/>
              <w:rPr>
                <w:highlight w:val="yellow"/>
                <w:lang w:eastAsia="zh-CN"/>
              </w:rPr>
            </w:pPr>
            <w:r>
              <w:rPr>
                <w:rFonts w:hint="eastAsia"/>
                <w:lang w:eastAsia="ja-JP"/>
              </w:rPr>
              <w:t xml:space="preserve">I/N </w:t>
            </w:r>
            <w:r>
              <w:rPr>
                <w:lang w:eastAsia="ja-JP"/>
              </w:rPr>
              <w:t>protection</w:t>
            </w:r>
            <w:r>
              <w:rPr>
                <w:rFonts w:hint="eastAsia"/>
                <w:lang w:eastAsia="ja-JP"/>
              </w:rPr>
              <w:t xml:space="preserve"> criteria (dB)</w:t>
            </w:r>
          </w:p>
        </w:tc>
        <w:tc>
          <w:tcPr>
            <w:tcW w:w="2127" w:type="dxa"/>
            <w:shd w:val="clear" w:color="auto" w:fill="auto"/>
            <w:vAlign w:val="center"/>
          </w:tcPr>
          <w:p w14:paraId="6EE63D78" w14:textId="77777777" w:rsidR="00B23F31" w:rsidRPr="00FD1B65" w:rsidRDefault="00B23F31" w:rsidP="00B23F31">
            <w:pPr>
              <w:pStyle w:val="Tabletext"/>
              <w:rPr>
                <w:highlight w:val="yellow"/>
                <w:lang w:eastAsia="zh-CN"/>
              </w:rPr>
            </w:pPr>
          </w:p>
        </w:tc>
        <w:tc>
          <w:tcPr>
            <w:tcW w:w="1984" w:type="dxa"/>
            <w:shd w:val="clear" w:color="auto" w:fill="auto"/>
            <w:vAlign w:val="center"/>
          </w:tcPr>
          <w:p w14:paraId="11D11417" w14:textId="76313D4E" w:rsidR="00B23F31" w:rsidRPr="00FD1B65" w:rsidRDefault="00B23F31" w:rsidP="00B23F31">
            <w:pPr>
              <w:pStyle w:val="Tabletext"/>
              <w:rPr>
                <w:lang w:eastAsia="zh-CN"/>
              </w:rPr>
            </w:pPr>
            <w:r>
              <w:rPr>
                <w:rFonts w:hint="eastAsia"/>
                <w:lang w:eastAsia="ja-JP"/>
              </w:rPr>
              <w:t>-10 not to be exceeded for more than 20% of the time</w:t>
            </w:r>
          </w:p>
        </w:tc>
        <w:tc>
          <w:tcPr>
            <w:tcW w:w="1958" w:type="dxa"/>
            <w:vAlign w:val="center"/>
          </w:tcPr>
          <w:p w14:paraId="1CFC74A0" w14:textId="06EB58ED" w:rsidR="00B23F31" w:rsidRPr="00FD1B65" w:rsidRDefault="00B23F31" w:rsidP="00B23F31">
            <w:pPr>
              <w:pStyle w:val="Tabletext"/>
              <w:rPr>
                <w:lang w:eastAsia="zh-CN"/>
              </w:rPr>
            </w:pPr>
          </w:p>
        </w:tc>
      </w:tr>
      <w:tr w:rsidR="007B23C0" w:rsidRPr="00A51F26" w14:paraId="406EF127" w14:textId="77777777" w:rsidTr="00B23F31">
        <w:trPr>
          <w:jc w:val="center"/>
        </w:trPr>
        <w:tc>
          <w:tcPr>
            <w:tcW w:w="9466" w:type="dxa"/>
            <w:gridSpan w:val="4"/>
            <w:shd w:val="clear" w:color="auto" w:fill="auto"/>
            <w:vAlign w:val="center"/>
          </w:tcPr>
          <w:p w14:paraId="1D863368" w14:textId="77777777" w:rsidR="007B23C0" w:rsidRPr="00A51F26" w:rsidRDefault="007B23C0" w:rsidP="002834B3">
            <w:pPr>
              <w:pStyle w:val="Tabletext"/>
              <w:rPr>
                <w:b/>
                <w:bCs/>
                <w:lang w:val="en-US" w:eastAsia="zh-CN"/>
              </w:rPr>
            </w:pPr>
            <w:r w:rsidRPr="00A51F26">
              <w:rPr>
                <w:b/>
                <w:bCs/>
                <w:lang w:val="en-US" w:eastAsia="zh-CN"/>
              </w:rPr>
              <w:lastRenderedPageBreak/>
              <w:t>Propagation model/losses</w:t>
            </w:r>
          </w:p>
        </w:tc>
      </w:tr>
      <w:tr w:rsidR="007B23C0" w:rsidRPr="00A51F26" w14:paraId="5B1C0D09" w14:textId="77777777" w:rsidTr="00B23F31">
        <w:trPr>
          <w:jc w:val="center"/>
        </w:trPr>
        <w:tc>
          <w:tcPr>
            <w:tcW w:w="3397" w:type="dxa"/>
            <w:shd w:val="clear" w:color="auto" w:fill="auto"/>
            <w:vAlign w:val="center"/>
            <w:hideMark/>
          </w:tcPr>
          <w:p w14:paraId="7B262CDF" w14:textId="77777777" w:rsidR="007B23C0" w:rsidRPr="00A51F26" w:rsidRDefault="007B23C0" w:rsidP="002834B3">
            <w:pPr>
              <w:pStyle w:val="Tabletext"/>
              <w:rPr>
                <w:lang w:val="en-US" w:eastAsia="zh-CN"/>
              </w:rPr>
            </w:pPr>
            <w:r w:rsidRPr="00A51F26">
              <w:rPr>
                <w:lang w:val="en-US" w:eastAsia="zh-CN"/>
              </w:rPr>
              <w:t>Basic transmission loss</w:t>
            </w:r>
          </w:p>
        </w:tc>
        <w:tc>
          <w:tcPr>
            <w:tcW w:w="2127" w:type="dxa"/>
            <w:shd w:val="clear" w:color="auto" w:fill="auto"/>
            <w:vAlign w:val="center"/>
            <w:hideMark/>
          </w:tcPr>
          <w:p w14:paraId="029460B3" w14:textId="77777777" w:rsidR="007B23C0" w:rsidRPr="00A51F26" w:rsidRDefault="007B23C0" w:rsidP="002834B3">
            <w:pPr>
              <w:pStyle w:val="Tabletext"/>
              <w:rPr>
                <w:color w:val="0563C1"/>
                <w:lang w:val="en-US" w:eastAsia="zh-CN"/>
              </w:rPr>
            </w:pPr>
          </w:p>
        </w:tc>
        <w:tc>
          <w:tcPr>
            <w:tcW w:w="1984" w:type="dxa"/>
            <w:shd w:val="clear" w:color="auto" w:fill="auto"/>
            <w:vAlign w:val="center"/>
          </w:tcPr>
          <w:p w14:paraId="114E65E8" w14:textId="6789206D" w:rsidR="007B23C0" w:rsidRPr="00A51F26" w:rsidRDefault="00F235B9" w:rsidP="002834B3">
            <w:pPr>
              <w:pStyle w:val="Tabletext"/>
              <w:rPr>
                <w:lang w:val="en-US" w:eastAsia="zh-CN"/>
              </w:rPr>
            </w:pPr>
            <w:r w:rsidRPr="00A51F26">
              <w:rPr>
                <w:lang w:val="en-US" w:eastAsia="zh-CN"/>
              </w:rPr>
              <w:t>P.2001</w:t>
            </w:r>
          </w:p>
        </w:tc>
        <w:tc>
          <w:tcPr>
            <w:tcW w:w="1958" w:type="dxa"/>
          </w:tcPr>
          <w:p w14:paraId="07A83593" w14:textId="77777777" w:rsidR="007B23C0" w:rsidRPr="00A51F26" w:rsidRDefault="007B23C0" w:rsidP="002834B3">
            <w:pPr>
              <w:pStyle w:val="Tabletext"/>
              <w:rPr>
                <w:lang w:val="en-US" w:eastAsia="zh-CN"/>
              </w:rPr>
            </w:pPr>
          </w:p>
        </w:tc>
      </w:tr>
      <w:tr w:rsidR="007B23C0" w:rsidRPr="00A51F26" w14:paraId="5AA819C0" w14:textId="77777777" w:rsidTr="00B23F31">
        <w:trPr>
          <w:jc w:val="center"/>
        </w:trPr>
        <w:tc>
          <w:tcPr>
            <w:tcW w:w="3397" w:type="dxa"/>
            <w:shd w:val="clear" w:color="auto" w:fill="auto"/>
            <w:vAlign w:val="center"/>
            <w:hideMark/>
          </w:tcPr>
          <w:p w14:paraId="5E2CFACB" w14:textId="77777777" w:rsidR="007B23C0" w:rsidRPr="00A51F26" w:rsidRDefault="007B23C0" w:rsidP="002834B3">
            <w:pPr>
              <w:pStyle w:val="Tabletext"/>
              <w:rPr>
                <w:lang w:val="en-US" w:eastAsia="zh-CN"/>
              </w:rPr>
            </w:pPr>
            <w:r w:rsidRPr="00A51F26">
              <w:rPr>
                <w:lang w:val="en-US" w:eastAsia="zh-CN"/>
              </w:rPr>
              <w:t>Clutter loss</w:t>
            </w:r>
          </w:p>
        </w:tc>
        <w:tc>
          <w:tcPr>
            <w:tcW w:w="2127" w:type="dxa"/>
            <w:shd w:val="clear" w:color="auto" w:fill="auto"/>
            <w:vAlign w:val="center"/>
            <w:hideMark/>
          </w:tcPr>
          <w:p w14:paraId="7E9E267E" w14:textId="77777777" w:rsidR="007B23C0" w:rsidRPr="00A51F26" w:rsidRDefault="007B23C0" w:rsidP="002834B3">
            <w:pPr>
              <w:pStyle w:val="Tabletext"/>
              <w:rPr>
                <w:lang w:val="en-US" w:eastAsia="zh-CN"/>
              </w:rPr>
            </w:pPr>
          </w:p>
        </w:tc>
        <w:tc>
          <w:tcPr>
            <w:tcW w:w="1984" w:type="dxa"/>
            <w:shd w:val="clear" w:color="auto" w:fill="auto"/>
            <w:vAlign w:val="center"/>
          </w:tcPr>
          <w:p w14:paraId="1437AD6E" w14:textId="2EF30879" w:rsidR="007B23C0" w:rsidRPr="00A51F26" w:rsidRDefault="00F235B9" w:rsidP="002834B3">
            <w:pPr>
              <w:pStyle w:val="Tabletext"/>
              <w:rPr>
                <w:lang w:val="en-US" w:eastAsia="zh-CN"/>
              </w:rPr>
            </w:pPr>
            <w:r w:rsidRPr="00A51F26">
              <w:rPr>
                <w:lang w:val="en-US" w:eastAsia="zh-CN"/>
              </w:rPr>
              <w:t>P.2108</w:t>
            </w:r>
          </w:p>
        </w:tc>
        <w:tc>
          <w:tcPr>
            <w:tcW w:w="1958" w:type="dxa"/>
          </w:tcPr>
          <w:p w14:paraId="37051FF7" w14:textId="77777777" w:rsidR="007B23C0" w:rsidRPr="00A51F26" w:rsidRDefault="007B23C0" w:rsidP="002834B3">
            <w:pPr>
              <w:pStyle w:val="Tabletext"/>
              <w:rPr>
                <w:lang w:val="en-US" w:eastAsia="zh-CN"/>
              </w:rPr>
            </w:pPr>
          </w:p>
        </w:tc>
      </w:tr>
      <w:tr w:rsidR="007B23C0" w:rsidRPr="00A51F26" w14:paraId="185C5F9E" w14:textId="77777777" w:rsidTr="00B23F31">
        <w:trPr>
          <w:jc w:val="center"/>
        </w:trPr>
        <w:tc>
          <w:tcPr>
            <w:tcW w:w="3397" w:type="dxa"/>
            <w:shd w:val="clear" w:color="auto" w:fill="auto"/>
            <w:vAlign w:val="center"/>
            <w:hideMark/>
          </w:tcPr>
          <w:p w14:paraId="7DF0BE7A" w14:textId="77777777" w:rsidR="007B23C0" w:rsidRPr="00A51F26" w:rsidRDefault="007B23C0" w:rsidP="002834B3">
            <w:pPr>
              <w:pStyle w:val="Tabletext"/>
              <w:rPr>
                <w:lang w:val="en-US" w:eastAsia="zh-CN"/>
              </w:rPr>
            </w:pPr>
            <w:r w:rsidRPr="00A51F26">
              <w:rPr>
                <w:lang w:val="en-US" w:eastAsia="zh-CN"/>
              </w:rPr>
              <w:t>Building entry loss</w:t>
            </w:r>
          </w:p>
        </w:tc>
        <w:tc>
          <w:tcPr>
            <w:tcW w:w="2127" w:type="dxa"/>
            <w:shd w:val="clear" w:color="auto" w:fill="auto"/>
            <w:vAlign w:val="center"/>
            <w:hideMark/>
          </w:tcPr>
          <w:p w14:paraId="17C84576" w14:textId="77777777" w:rsidR="007B23C0" w:rsidRPr="00A51F26" w:rsidRDefault="007B23C0" w:rsidP="002834B3">
            <w:pPr>
              <w:pStyle w:val="Tabletext"/>
              <w:rPr>
                <w:lang w:val="en-US" w:eastAsia="zh-CN"/>
              </w:rPr>
            </w:pPr>
          </w:p>
        </w:tc>
        <w:tc>
          <w:tcPr>
            <w:tcW w:w="1984" w:type="dxa"/>
            <w:shd w:val="clear" w:color="auto" w:fill="auto"/>
            <w:vAlign w:val="center"/>
          </w:tcPr>
          <w:p w14:paraId="791D6C26" w14:textId="411B77BB" w:rsidR="007B23C0" w:rsidRPr="00A51F26" w:rsidRDefault="00AE4AFA" w:rsidP="002834B3">
            <w:pPr>
              <w:pStyle w:val="Tabletext"/>
              <w:rPr>
                <w:lang w:val="en-US" w:eastAsia="zh-CN"/>
              </w:rPr>
            </w:pPr>
            <w:r w:rsidRPr="00A51F26">
              <w:rPr>
                <w:lang w:val="en-US" w:eastAsia="zh-CN"/>
              </w:rPr>
              <w:t>P.2109</w:t>
            </w:r>
          </w:p>
        </w:tc>
        <w:tc>
          <w:tcPr>
            <w:tcW w:w="1958" w:type="dxa"/>
          </w:tcPr>
          <w:p w14:paraId="78CAD50E" w14:textId="77777777" w:rsidR="007B23C0" w:rsidRPr="00A51F26" w:rsidRDefault="007B23C0" w:rsidP="002834B3">
            <w:pPr>
              <w:pStyle w:val="Tabletext"/>
              <w:rPr>
                <w:lang w:val="en-US" w:eastAsia="zh-CN"/>
              </w:rPr>
            </w:pPr>
          </w:p>
        </w:tc>
      </w:tr>
      <w:tr w:rsidR="007B23C0" w:rsidRPr="00A51F26" w:rsidDel="00E5504B" w14:paraId="157F5031" w14:textId="77777777" w:rsidTr="00B23F31">
        <w:trPr>
          <w:jc w:val="center"/>
        </w:trPr>
        <w:tc>
          <w:tcPr>
            <w:tcW w:w="3397" w:type="dxa"/>
            <w:shd w:val="clear" w:color="auto" w:fill="auto"/>
            <w:vAlign w:val="center"/>
            <w:hideMark/>
          </w:tcPr>
          <w:p w14:paraId="2ACCE8AC" w14:textId="77777777" w:rsidR="007B23C0" w:rsidRPr="00A51F26" w:rsidDel="00E5504B" w:rsidRDefault="007B23C0" w:rsidP="002834B3">
            <w:pPr>
              <w:pStyle w:val="Tabletext"/>
              <w:rPr>
                <w:lang w:val="en-US" w:eastAsia="zh-CN"/>
              </w:rPr>
            </w:pPr>
            <w:r w:rsidRPr="00A51F26" w:rsidDel="00E5504B">
              <w:rPr>
                <w:lang w:val="en-US" w:eastAsia="zh-CN"/>
              </w:rPr>
              <w:t>Cross-polarization loss (dB)</w:t>
            </w:r>
          </w:p>
        </w:tc>
        <w:tc>
          <w:tcPr>
            <w:tcW w:w="2127" w:type="dxa"/>
            <w:shd w:val="clear" w:color="auto" w:fill="auto"/>
            <w:vAlign w:val="center"/>
            <w:hideMark/>
          </w:tcPr>
          <w:p w14:paraId="1206D1C6" w14:textId="77777777" w:rsidR="007B23C0" w:rsidRPr="00A51F26" w:rsidDel="00E5504B" w:rsidRDefault="007B23C0" w:rsidP="002834B3">
            <w:pPr>
              <w:pStyle w:val="Tabletext"/>
              <w:rPr>
                <w:lang w:val="en-US" w:eastAsia="zh-CN"/>
              </w:rPr>
            </w:pPr>
          </w:p>
        </w:tc>
        <w:tc>
          <w:tcPr>
            <w:tcW w:w="1984" w:type="dxa"/>
            <w:shd w:val="clear" w:color="auto" w:fill="auto"/>
            <w:vAlign w:val="center"/>
          </w:tcPr>
          <w:p w14:paraId="2AAA50C1" w14:textId="7F2E108C" w:rsidR="007B23C0" w:rsidRPr="00A51F26" w:rsidDel="00E5504B" w:rsidRDefault="00F235B9" w:rsidP="002834B3">
            <w:pPr>
              <w:pStyle w:val="Tabletext"/>
              <w:rPr>
                <w:lang w:val="en-US" w:eastAsia="zh-CN"/>
              </w:rPr>
            </w:pPr>
            <w:r w:rsidRPr="00A51F26">
              <w:rPr>
                <w:lang w:val="en-US" w:eastAsia="zh-CN"/>
              </w:rPr>
              <w:t>N/A</w:t>
            </w:r>
          </w:p>
        </w:tc>
        <w:tc>
          <w:tcPr>
            <w:tcW w:w="1958" w:type="dxa"/>
          </w:tcPr>
          <w:p w14:paraId="62E8BBF3" w14:textId="77777777" w:rsidR="007B23C0" w:rsidRPr="00A51F26" w:rsidDel="00E5504B" w:rsidRDefault="007B23C0" w:rsidP="002834B3">
            <w:pPr>
              <w:pStyle w:val="Tabletext"/>
              <w:rPr>
                <w:lang w:val="en-US" w:eastAsia="zh-CN"/>
              </w:rPr>
            </w:pPr>
          </w:p>
        </w:tc>
      </w:tr>
      <w:tr w:rsidR="007B23C0" w:rsidRPr="00A51F26" w14:paraId="7B8B5301" w14:textId="77777777" w:rsidTr="00B23F31">
        <w:trPr>
          <w:jc w:val="center"/>
        </w:trPr>
        <w:tc>
          <w:tcPr>
            <w:tcW w:w="9466" w:type="dxa"/>
            <w:gridSpan w:val="4"/>
            <w:shd w:val="clear" w:color="auto" w:fill="auto"/>
            <w:vAlign w:val="center"/>
          </w:tcPr>
          <w:p w14:paraId="50342564" w14:textId="77777777" w:rsidR="007B23C0" w:rsidRPr="00A51F26" w:rsidRDefault="007B23C0" w:rsidP="002834B3">
            <w:pPr>
              <w:pStyle w:val="Tabletext"/>
              <w:rPr>
                <w:b/>
                <w:bCs/>
                <w:lang w:val="en-US" w:eastAsia="zh-CN"/>
              </w:rPr>
            </w:pPr>
            <w:r w:rsidRPr="00A51F26">
              <w:rPr>
                <w:b/>
                <w:bCs/>
                <w:lang w:val="en-US" w:eastAsia="zh-CN"/>
              </w:rPr>
              <w:t>Results of studies</w:t>
            </w:r>
          </w:p>
        </w:tc>
      </w:tr>
      <w:tr w:rsidR="007B23C0" w:rsidRPr="00A51F26" w14:paraId="7EE7B707" w14:textId="77777777" w:rsidTr="00B23F31">
        <w:trPr>
          <w:jc w:val="center"/>
        </w:trPr>
        <w:tc>
          <w:tcPr>
            <w:tcW w:w="3397" w:type="dxa"/>
            <w:shd w:val="clear" w:color="auto" w:fill="auto"/>
            <w:vAlign w:val="center"/>
          </w:tcPr>
          <w:p w14:paraId="2AFC39DC" w14:textId="77777777" w:rsidR="007B23C0" w:rsidRPr="00A51F26" w:rsidRDefault="007B23C0" w:rsidP="002834B3">
            <w:pPr>
              <w:pStyle w:val="Tabletext"/>
              <w:rPr>
                <w:lang w:val="en-US" w:eastAsia="zh-CN"/>
              </w:rPr>
            </w:pPr>
            <w:r w:rsidRPr="00A51F26">
              <w:rPr>
                <w:lang w:val="en-US" w:eastAsia="zh-CN"/>
              </w:rPr>
              <w:t>Does the study result consider both BS and UEs?</w:t>
            </w:r>
          </w:p>
        </w:tc>
        <w:tc>
          <w:tcPr>
            <w:tcW w:w="2127" w:type="dxa"/>
            <w:shd w:val="clear" w:color="auto" w:fill="auto"/>
            <w:vAlign w:val="center"/>
          </w:tcPr>
          <w:p w14:paraId="2944875D" w14:textId="77777777" w:rsidR="007B23C0" w:rsidRPr="00A51F26" w:rsidRDefault="007B23C0" w:rsidP="002834B3">
            <w:pPr>
              <w:pStyle w:val="Tabletext"/>
              <w:rPr>
                <w:lang w:val="en-US" w:eastAsia="zh-CN"/>
              </w:rPr>
            </w:pPr>
          </w:p>
        </w:tc>
        <w:tc>
          <w:tcPr>
            <w:tcW w:w="1984" w:type="dxa"/>
            <w:shd w:val="clear" w:color="auto" w:fill="auto"/>
            <w:vAlign w:val="center"/>
          </w:tcPr>
          <w:p w14:paraId="4509B77A" w14:textId="1B4424C9" w:rsidR="007B23C0" w:rsidRPr="00A51F26" w:rsidRDefault="00E346BD" w:rsidP="002834B3">
            <w:pPr>
              <w:pStyle w:val="Tabletext"/>
              <w:rPr>
                <w:lang w:val="en-US" w:eastAsia="zh-CN"/>
              </w:rPr>
            </w:pPr>
            <w:r w:rsidRPr="00A51F26">
              <w:rPr>
                <w:lang w:val="en-US" w:eastAsia="zh-CN"/>
              </w:rPr>
              <w:t>Yes</w:t>
            </w:r>
          </w:p>
        </w:tc>
        <w:tc>
          <w:tcPr>
            <w:tcW w:w="1958" w:type="dxa"/>
          </w:tcPr>
          <w:p w14:paraId="20D0A21B" w14:textId="77777777" w:rsidR="007B23C0" w:rsidRPr="00A51F26" w:rsidRDefault="007B23C0" w:rsidP="002834B3">
            <w:pPr>
              <w:pStyle w:val="Tabletext"/>
              <w:rPr>
                <w:lang w:val="en-US" w:eastAsia="zh-CN"/>
              </w:rPr>
            </w:pPr>
          </w:p>
        </w:tc>
      </w:tr>
      <w:tr w:rsidR="007B23C0" w:rsidRPr="00A51F26" w14:paraId="70D68BA5" w14:textId="77777777" w:rsidTr="00B23F31">
        <w:trPr>
          <w:jc w:val="center"/>
        </w:trPr>
        <w:tc>
          <w:tcPr>
            <w:tcW w:w="3397" w:type="dxa"/>
            <w:shd w:val="clear" w:color="auto" w:fill="auto"/>
            <w:vAlign w:val="center"/>
            <w:hideMark/>
          </w:tcPr>
          <w:p w14:paraId="1A6583DA" w14:textId="77777777" w:rsidR="007B23C0" w:rsidRPr="00A51F26" w:rsidRDefault="007B23C0" w:rsidP="002834B3">
            <w:pPr>
              <w:pStyle w:val="Tabletext"/>
              <w:rPr>
                <w:lang w:val="en-US" w:eastAsia="zh-CN"/>
              </w:rPr>
            </w:pPr>
            <w:r w:rsidRPr="00A51F26">
              <w:rPr>
                <w:lang w:val="en-US" w:eastAsia="zh-CN"/>
              </w:rPr>
              <w:t>Results summary</w:t>
            </w:r>
          </w:p>
        </w:tc>
        <w:tc>
          <w:tcPr>
            <w:tcW w:w="2127" w:type="dxa"/>
            <w:shd w:val="clear" w:color="auto" w:fill="auto"/>
            <w:vAlign w:val="center"/>
            <w:hideMark/>
          </w:tcPr>
          <w:p w14:paraId="438002DC" w14:textId="77777777" w:rsidR="007B23C0" w:rsidRPr="00A51F26" w:rsidRDefault="007B23C0" w:rsidP="002834B3">
            <w:pPr>
              <w:pStyle w:val="Tabletext"/>
              <w:rPr>
                <w:lang w:val="en-US" w:eastAsia="zh-CN"/>
              </w:rPr>
            </w:pPr>
          </w:p>
        </w:tc>
        <w:tc>
          <w:tcPr>
            <w:tcW w:w="1984" w:type="dxa"/>
            <w:shd w:val="clear" w:color="auto" w:fill="auto"/>
            <w:vAlign w:val="center"/>
          </w:tcPr>
          <w:p w14:paraId="20FA8266" w14:textId="77777777" w:rsidR="007B23C0" w:rsidRPr="00A51F26" w:rsidRDefault="007B23C0" w:rsidP="002834B3">
            <w:pPr>
              <w:pStyle w:val="Tabletext"/>
              <w:rPr>
                <w:lang w:val="en-US" w:eastAsia="zh-CN"/>
              </w:rPr>
            </w:pPr>
          </w:p>
        </w:tc>
        <w:tc>
          <w:tcPr>
            <w:tcW w:w="1958" w:type="dxa"/>
          </w:tcPr>
          <w:p w14:paraId="456939AD" w14:textId="77777777" w:rsidR="007B23C0" w:rsidRPr="00A51F26" w:rsidRDefault="007B23C0" w:rsidP="002834B3">
            <w:pPr>
              <w:pStyle w:val="Tabletext"/>
              <w:rPr>
                <w:lang w:val="en-US" w:eastAsia="zh-CN"/>
              </w:rPr>
            </w:pPr>
          </w:p>
        </w:tc>
      </w:tr>
    </w:tbl>
    <w:p w14:paraId="71B8250F" w14:textId="77777777" w:rsidR="007B23C0" w:rsidRPr="00A51F26" w:rsidRDefault="007B23C0" w:rsidP="007B23C0">
      <w:pPr>
        <w:jc w:val="center"/>
        <w:rPr>
          <w:lang w:val="en-US" w:eastAsia="zh-CN"/>
        </w:rPr>
      </w:pPr>
      <w:r w:rsidRPr="00A51F26">
        <w:rPr>
          <w:lang w:val="en-US" w:eastAsia="zh-CN"/>
        </w:rPr>
        <w:t>_______________</w:t>
      </w:r>
    </w:p>
    <w:p w14:paraId="4072B4D9" w14:textId="77777777" w:rsidR="007B23C0" w:rsidRPr="00A51F26" w:rsidRDefault="007B23C0" w:rsidP="007B23C0">
      <w:pPr>
        <w:tabs>
          <w:tab w:val="clear" w:pos="1134"/>
          <w:tab w:val="clear" w:pos="1871"/>
          <w:tab w:val="clear" w:pos="2268"/>
        </w:tabs>
        <w:overflowPunct/>
        <w:autoSpaceDE/>
        <w:autoSpaceDN/>
        <w:adjustRightInd/>
        <w:spacing w:before="0"/>
        <w:textAlignment w:val="auto"/>
        <w:rPr>
          <w:lang w:val="en-US"/>
        </w:rPr>
      </w:pPr>
    </w:p>
    <w:p w14:paraId="44E45BBD" w14:textId="77777777" w:rsidR="00E24935" w:rsidRPr="00A51F26" w:rsidRDefault="00E24935">
      <w:pPr>
        <w:tabs>
          <w:tab w:val="clear" w:pos="1134"/>
          <w:tab w:val="clear" w:pos="1871"/>
          <w:tab w:val="clear" w:pos="2268"/>
        </w:tabs>
        <w:overflowPunct/>
        <w:autoSpaceDE/>
        <w:autoSpaceDN/>
        <w:adjustRightInd/>
        <w:spacing w:before="0"/>
        <w:textAlignment w:val="auto"/>
        <w:rPr>
          <w:lang w:val="en-US"/>
        </w:rPr>
      </w:pPr>
    </w:p>
    <w:sectPr w:rsidR="00E24935" w:rsidRPr="00A51F26" w:rsidSect="00190ED8">
      <w:footerReference w:type="default" r:id="rId23"/>
      <w:footerReference w:type="first" r:id="rId24"/>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9A9F" w14:textId="77777777" w:rsidR="00830143" w:rsidRDefault="00830143">
      <w:pPr>
        <w:spacing w:before="0"/>
      </w:pPr>
      <w:r>
        <w:separator/>
      </w:r>
    </w:p>
  </w:endnote>
  <w:endnote w:type="continuationSeparator" w:id="0">
    <w:p w14:paraId="489B7E16" w14:textId="77777777" w:rsidR="00830143" w:rsidRDefault="00830143">
      <w:pPr>
        <w:spacing w:before="0"/>
      </w:pPr>
      <w:r>
        <w:continuationSeparator/>
      </w:r>
    </w:p>
  </w:endnote>
  <w:endnote w:type="continuationNotice" w:id="1">
    <w:p w14:paraId="249BA7F3" w14:textId="77777777" w:rsidR="00830143" w:rsidRDefault="008301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E91" w14:textId="7FD62FBD" w:rsidR="008D365B" w:rsidRDefault="008D365B" w:rsidP="008D365B">
    <w:pPr>
      <w:pStyle w:val="Footer"/>
    </w:pPr>
    <w:bookmarkStart w:id="11" w:name="TITUS1FooterPrimary"/>
    <w:r w:rsidRPr="008D365B">
      <w:rPr>
        <w:color w:val="000000"/>
        <w:sz w:val="17"/>
      </w:rPr>
      <w:t>  </w:t>
    </w:r>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E22" w14:textId="7D1B7695" w:rsidR="008D365B" w:rsidRDefault="008D365B" w:rsidP="008D365B">
    <w:pPr>
      <w:pStyle w:val="Footer"/>
    </w:pPr>
    <w:bookmarkStart w:id="12" w:name="TITUS1FooterFirstPage"/>
    <w:r w:rsidRPr="008D365B">
      <w:rPr>
        <w:color w:val="000000"/>
        <w:sz w:val="17"/>
      </w:rPr>
      <w:t>  </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1702" w14:textId="77777777" w:rsidR="00830143" w:rsidRDefault="00830143">
      <w:pPr>
        <w:spacing w:before="0"/>
      </w:pPr>
      <w:r>
        <w:separator/>
      </w:r>
    </w:p>
  </w:footnote>
  <w:footnote w:type="continuationSeparator" w:id="0">
    <w:p w14:paraId="4E71C177" w14:textId="77777777" w:rsidR="00830143" w:rsidRDefault="00830143">
      <w:pPr>
        <w:spacing w:before="0"/>
      </w:pPr>
      <w:r>
        <w:continuationSeparator/>
      </w:r>
    </w:p>
  </w:footnote>
  <w:footnote w:type="continuationNotice" w:id="1">
    <w:p w14:paraId="17767F33" w14:textId="77777777" w:rsidR="00830143" w:rsidRDefault="0083014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E5418"/>
    <w:multiLevelType w:val="hybridMultilevel"/>
    <w:tmpl w:val="8F94B648"/>
    <w:lvl w:ilvl="0" w:tplc="A2CAAB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FB4139"/>
    <w:multiLevelType w:val="hybridMultilevel"/>
    <w:tmpl w:val="EC147F28"/>
    <w:lvl w:ilvl="0" w:tplc="A2CAABE8">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9633107">
    <w:abstractNumId w:val="4"/>
  </w:num>
  <w:num w:numId="2" w16cid:durableId="4475914">
    <w:abstractNumId w:val="2"/>
  </w:num>
  <w:num w:numId="3" w16cid:durableId="813260124">
    <w:abstractNumId w:val="1"/>
  </w:num>
  <w:num w:numId="4" w16cid:durableId="532767471">
    <w:abstractNumId w:val="3"/>
  </w:num>
  <w:num w:numId="5" w16cid:durableId="104491465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418"/>
    <w:rsid w:val="000073A8"/>
    <w:rsid w:val="00007F03"/>
    <w:rsid w:val="00012019"/>
    <w:rsid w:val="00012134"/>
    <w:rsid w:val="00012873"/>
    <w:rsid w:val="00012DA2"/>
    <w:rsid w:val="00015AC1"/>
    <w:rsid w:val="00015B80"/>
    <w:rsid w:val="000164B0"/>
    <w:rsid w:val="0002034C"/>
    <w:rsid w:val="00020576"/>
    <w:rsid w:val="000241AD"/>
    <w:rsid w:val="00024699"/>
    <w:rsid w:val="00024C6A"/>
    <w:rsid w:val="00026228"/>
    <w:rsid w:val="00026A91"/>
    <w:rsid w:val="0002789D"/>
    <w:rsid w:val="00027A39"/>
    <w:rsid w:val="00027ED3"/>
    <w:rsid w:val="000311C3"/>
    <w:rsid w:val="0003444E"/>
    <w:rsid w:val="0003594B"/>
    <w:rsid w:val="00036C81"/>
    <w:rsid w:val="00040B25"/>
    <w:rsid w:val="00041DC9"/>
    <w:rsid w:val="00042634"/>
    <w:rsid w:val="00043C57"/>
    <w:rsid w:val="000444CF"/>
    <w:rsid w:val="0004613C"/>
    <w:rsid w:val="00046385"/>
    <w:rsid w:val="00050275"/>
    <w:rsid w:val="00050E68"/>
    <w:rsid w:val="00053B91"/>
    <w:rsid w:val="00054550"/>
    <w:rsid w:val="000552DD"/>
    <w:rsid w:val="00055503"/>
    <w:rsid w:val="00055603"/>
    <w:rsid w:val="000563A7"/>
    <w:rsid w:val="000568C7"/>
    <w:rsid w:val="00057496"/>
    <w:rsid w:val="00057958"/>
    <w:rsid w:val="000622E4"/>
    <w:rsid w:val="000641FD"/>
    <w:rsid w:val="00066CA1"/>
    <w:rsid w:val="00072535"/>
    <w:rsid w:val="00072B46"/>
    <w:rsid w:val="00073355"/>
    <w:rsid w:val="000753EA"/>
    <w:rsid w:val="00075EDC"/>
    <w:rsid w:val="000769EC"/>
    <w:rsid w:val="00077128"/>
    <w:rsid w:val="0007740B"/>
    <w:rsid w:val="00077C63"/>
    <w:rsid w:val="00077D30"/>
    <w:rsid w:val="00077F30"/>
    <w:rsid w:val="00080D1E"/>
    <w:rsid w:val="00081475"/>
    <w:rsid w:val="00081CC7"/>
    <w:rsid w:val="00084229"/>
    <w:rsid w:val="0008543E"/>
    <w:rsid w:val="00085E28"/>
    <w:rsid w:val="00086C58"/>
    <w:rsid w:val="00086D9F"/>
    <w:rsid w:val="00093356"/>
    <w:rsid w:val="00094D7F"/>
    <w:rsid w:val="0009604F"/>
    <w:rsid w:val="000A0EC3"/>
    <w:rsid w:val="000A1699"/>
    <w:rsid w:val="000A18FA"/>
    <w:rsid w:val="000A1C94"/>
    <w:rsid w:val="000A34E5"/>
    <w:rsid w:val="000A5EBB"/>
    <w:rsid w:val="000A60FD"/>
    <w:rsid w:val="000A62BB"/>
    <w:rsid w:val="000A6401"/>
    <w:rsid w:val="000A6C49"/>
    <w:rsid w:val="000B00FD"/>
    <w:rsid w:val="000B03E0"/>
    <w:rsid w:val="000B1BE7"/>
    <w:rsid w:val="000B2270"/>
    <w:rsid w:val="000B2772"/>
    <w:rsid w:val="000B3AC1"/>
    <w:rsid w:val="000B3E5B"/>
    <w:rsid w:val="000B4671"/>
    <w:rsid w:val="000B46C8"/>
    <w:rsid w:val="000B49C5"/>
    <w:rsid w:val="000B698A"/>
    <w:rsid w:val="000B7074"/>
    <w:rsid w:val="000B73D0"/>
    <w:rsid w:val="000C1510"/>
    <w:rsid w:val="000C3D51"/>
    <w:rsid w:val="000C4DA3"/>
    <w:rsid w:val="000C65DF"/>
    <w:rsid w:val="000C7216"/>
    <w:rsid w:val="000C75EE"/>
    <w:rsid w:val="000C7C15"/>
    <w:rsid w:val="000C7FD4"/>
    <w:rsid w:val="000D0093"/>
    <w:rsid w:val="000D0556"/>
    <w:rsid w:val="000D16FA"/>
    <w:rsid w:val="000D28DE"/>
    <w:rsid w:val="000D2B68"/>
    <w:rsid w:val="000D3330"/>
    <w:rsid w:val="000D3725"/>
    <w:rsid w:val="000D3CFD"/>
    <w:rsid w:val="000D61A6"/>
    <w:rsid w:val="000D6DA7"/>
    <w:rsid w:val="000D76ED"/>
    <w:rsid w:val="000E1C68"/>
    <w:rsid w:val="000E34E9"/>
    <w:rsid w:val="000E4002"/>
    <w:rsid w:val="000E48CE"/>
    <w:rsid w:val="000E6C65"/>
    <w:rsid w:val="000F022A"/>
    <w:rsid w:val="000F1E16"/>
    <w:rsid w:val="000F260E"/>
    <w:rsid w:val="000F271E"/>
    <w:rsid w:val="000F486C"/>
    <w:rsid w:val="000F4F73"/>
    <w:rsid w:val="0010212A"/>
    <w:rsid w:val="0010217F"/>
    <w:rsid w:val="0010252A"/>
    <w:rsid w:val="00102877"/>
    <w:rsid w:val="00102BE4"/>
    <w:rsid w:val="0010568F"/>
    <w:rsid w:val="001063FA"/>
    <w:rsid w:val="0010792D"/>
    <w:rsid w:val="0011019F"/>
    <w:rsid w:val="00110238"/>
    <w:rsid w:val="00110803"/>
    <w:rsid w:val="00110886"/>
    <w:rsid w:val="00111BD3"/>
    <w:rsid w:val="00112096"/>
    <w:rsid w:val="00113304"/>
    <w:rsid w:val="00113F43"/>
    <w:rsid w:val="00116548"/>
    <w:rsid w:val="0012027E"/>
    <w:rsid w:val="00120F25"/>
    <w:rsid w:val="0012231F"/>
    <w:rsid w:val="00123097"/>
    <w:rsid w:val="00123806"/>
    <w:rsid w:val="00127648"/>
    <w:rsid w:val="00130759"/>
    <w:rsid w:val="001307CF"/>
    <w:rsid w:val="00130F35"/>
    <w:rsid w:val="001319BE"/>
    <w:rsid w:val="001349C0"/>
    <w:rsid w:val="00135218"/>
    <w:rsid w:val="00140018"/>
    <w:rsid w:val="00141134"/>
    <w:rsid w:val="001411CD"/>
    <w:rsid w:val="00141AC1"/>
    <w:rsid w:val="001423A7"/>
    <w:rsid w:val="00142B6E"/>
    <w:rsid w:val="00142CFD"/>
    <w:rsid w:val="00145DC5"/>
    <w:rsid w:val="00145FD4"/>
    <w:rsid w:val="001461A4"/>
    <w:rsid w:val="0015083E"/>
    <w:rsid w:val="00152E31"/>
    <w:rsid w:val="001535FA"/>
    <w:rsid w:val="001537FA"/>
    <w:rsid w:val="00153E6F"/>
    <w:rsid w:val="00154DBA"/>
    <w:rsid w:val="00155E5B"/>
    <w:rsid w:val="001575BC"/>
    <w:rsid w:val="00157DAE"/>
    <w:rsid w:val="00161C1B"/>
    <w:rsid w:val="00161DB2"/>
    <w:rsid w:val="00163DE1"/>
    <w:rsid w:val="00165888"/>
    <w:rsid w:val="0016612E"/>
    <w:rsid w:val="00167359"/>
    <w:rsid w:val="001674F7"/>
    <w:rsid w:val="001706E0"/>
    <w:rsid w:val="00170953"/>
    <w:rsid w:val="00170A88"/>
    <w:rsid w:val="00171B70"/>
    <w:rsid w:val="00171B92"/>
    <w:rsid w:val="0017259F"/>
    <w:rsid w:val="00172914"/>
    <w:rsid w:val="00172D70"/>
    <w:rsid w:val="00174EE9"/>
    <w:rsid w:val="00175E57"/>
    <w:rsid w:val="00177272"/>
    <w:rsid w:val="0017778A"/>
    <w:rsid w:val="00177A7E"/>
    <w:rsid w:val="0018108A"/>
    <w:rsid w:val="001830FD"/>
    <w:rsid w:val="001844EC"/>
    <w:rsid w:val="0018474A"/>
    <w:rsid w:val="00184B3D"/>
    <w:rsid w:val="00184B86"/>
    <w:rsid w:val="00185383"/>
    <w:rsid w:val="00187373"/>
    <w:rsid w:val="00190ED8"/>
    <w:rsid w:val="00191794"/>
    <w:rsid w:val="00192627"/>
    <w:rsid w:val="00192FA7"/>
    <w:rsid w:val="00193584"/>
    <w:rsid w:val="00193B23"/>
    <w:rsid w:val="00193B56"/>
    <w:rsid w:val="00194686"/>
    <w:rsid w:val="0019490C"/>
    <w:rsid w:val="00195780"/>
    <w:rsid w:val="00196B53"/>
    <w:rsid w:val="001A2E82"/>
    <w:rsid w:val="001A3CAE"/>
    <w:rsid w:val="001A52F8"/>
    <w:rsid w:val="001A5572"/>
    <w:rsid w:val="001A591C"/>
    <w:rsid w:val="001A633A"/>
    <w:rsid w:val="001A6B03"/>
    <w:rsid w:val="001A6FB2"/>
    <w:rsid w:val="001B1280"/>
    <w:rsid w:val="001B1459"/>
    <w:rsid w:val="001B1838"/>
    <w:rsid w:val="001B22DE"/>
    <w:rsid w:val="001B3003"/>
    <w:rsid w:val="001B349D"/>
    <w:rsid w:val="001B4E65"/>
    <w:rsid w:val="001B4FCE"/>
    <w:rsid w:val="001B571F"/>
    <w:rsid w:val="001B5C90"/>
    <w:rsid w:val="001B7741"/>
    <w:rsid w:val="001B7E13"/>
    <w:rsid w:val="001C18F9"/>
    <w:rsid w:val="001C22F3"/>
    <w:rsid w:val="001C3B66"/>
    <w:rsid w:val="001C4BE4"/>
    <w:rsid w:val="001C693C"/>
    <w:rsid w:val="001C6C50"/>
    <w:rsid w:val="001C6CCA"/>
    <w:rsid w:val="001D0038"/>
    <w:rsid w:val="001D0E87"/>
    <w:rsid w:val="001D3030"/>
    <w:rsid w:val="001D340A"/>
    <w:rsid w:val="001D3E09"/>
    <w:rsid w:val="001D4342"/>
    <w:rsid w:val="001D4FA2"/>
    <w:rsid w:val="001D5173"/>
    <w:rsid w:val="001D5A87"/>
    <w:rsid w:val="001D6585"/>
    <w:rsid w:val="001E266E"/>
    <w:rsid w:val="001E26AF"/>
    <w:rsid w:val="001E34D5"/>
    <w:rsid w:val="001E622E"/>
    <w:rsid w:val="001E6315"/>
    <w:rsid w:val="001F2335"/>
    <w:rsid w:val="001F264D"/>
    <w:rsid w:val="001F3B60"/>
    <w:rsid w:val="001F56E3"/>
    <w:rsid w:val="001F616E"/>
    <w:rsid w:val="001F6968"/>
    <w:rsid w:val="001F7D07"/>
    <w:rsid w:val="002037D1"/>
    <w:rsid w:val="00206644"/>
    <w:rsid w:val="00206677"/>
    <w:rsid w:val="00211D43"/>
    <w:rsid w:val="00212DAF"/>
    <w:rsid w:val="00212EBE"/>
    <w:rsid w:val="002132E3"/>
    <w:rsid w:val="00213785"/>
    <w:rsid w:val="0021495D"/>
    <w:rsid w:val="0021502B"/>
    <w:rsid w:val="0021550A"/>
    <w:rsid w:val="00215EB0"/>
    <w:rsid w:val="002162DB"/>
    <w:rsid w:val="0021716C"/>
    <w:rsid w:val="00220766"/>
    <w:rsid w:val="0022086C"/>
    <w:rsid w:val="00222E35"/>
    <w:rsid w:val="00223136"/>
    <w:rsid w:val="0022342C"/>
    <w:rsid w:val="00223B1B"/>
    <w:rsid w:val="00227087"/>
    <w:rsid w:val="00230489"/>
    <w:rsid w:val="00230E18"/>
    <w:rsid w:val="00234172"/>
    <w:rsid w:val="002343AD"/>
    <w:rsid w:val="00234F23"/>
    <w:rsid w:val="00236A43"/>
    <w:rsid w:val="00236B26"/>
    <w:rsid w:val="002376F2"/>
    <w:rsid w:val="00237759"/>
    <w:rsid w:val="002409D5"/>
    <w:rsid w:val="002420ED"/>
    <w:rsid w:val="00244581"/>
    <w:rsid w:val="00244728"/>
    <w:rsid w:val="00244FEF"/>
    <w:rsid w:val="00246AFF"/>
    <w:rsid w:val="00246CA1"/>
    <w:rsid w:val="00247152"/>
    <w:rsid w:val="002477B0"/>
    <w:rsid w:val="0025046D"/>
    <w:rsid w:val="0025064D"/>
    <w:rsid w:val="00251FC3"/>
    <w:rsid w:val="002529E7"/>
    <w:rsid w:val="00254261"/>
    <w:rsid w:val="00255664"/>
    <w:rsid w:val="00255ED1"/>
    <w:rsid w:val="00256C38"/>
    <w:rsid w:val="002576AC"/>
    <w:rsid w:val="0026317F"/>
    <w:rsid w:val="002637AC"/>
    <w:rsid w:val="002718E7"/>
    <w:rsid w:val="00272245"/>
    <w:rsid w:val="00273D2C"/>
    <w:rsid w:val="00274569"/>
    <w:rsid w:val="002752FC"/>
    <w:rsid w:val="0027571E"/>
    <w:rsid w:val="00277903"/>
    <w:rsid w:val="00277911"/>
    <w:rsid w:val="00277E6A"/>
    <w:rsid w:val="00284A57"/>
    <w:rsid w:val="00286AB4"/>
    <w:rsid w:val="00286D80"/>
    <w:rsid w:val="00286E48"/>
    <w:rsid w:val="00290F90"/>
    <w:rsid w:val="002942C9"/>
    <w:rsid w:val="002968D1"/>
    <w:rsid w:val="002A09B0"/>
    <w:rsid w:val="002A0A0D"/>
    <w:rsid w:val="002A1330"/>
    <w:rsid w:val="002A1EC1"/>
    <w:rsid w:val="002A26BB"/>
    <w:rsid w:val="002A2B4F"/>
    <w:rsid w:val="002A4470"/>
    <w:rsid w:val="002A5A00"/>
    <w:rsid w:val="002A5B5B"/>
    <w:rsid w:val="002A608D"/>
    <w:rsid w:val="002A6DFF"/>
    <w:rsid w:val="002B0052"/>
    <w:rsid w:val="002B12A1"/>
    <w:rsid w:val="002B1454"/>
    <w:rsid w:val="002B2229"/>
    <w:rsid w:val="002B391C"/>
    <w:rsid w:val="002B3DCA"/>
    <w:rsid w:val="002B3EC2"/>
    <w:rsid w:val="002B5153"/>
    <w:rsid w:val="002B586F"/>
    <w:rsid w:val="002B6857"/>
    <w:rsid w:val="002B6B62"/>
    <w:rsid w:val="002C07D1"/>
    <w:rsid w:val="002C13C9"/>
    <w:rsid w:val="002C3496"/>
    <w:rsid w:val="002C3F26"/>
    <w:rsid w:val="002D2922"/>
    <w:rsid w:val="002D2949"/>
    <w:rsid w:val="002D2AB7"/>
    <w:rsid w:val="002D4A04"/>
    <w:rsid w:val="002D4F5C"/>
    <w:rsid w:val="002D6B85"/>
    <w:rsid w:val="002D6C5B"/>
    <w:rsid w:val="002D7A5F"/>
    <w:rsid w:val="002E0B54"/>
    <w:rsid w:val="002E0D34"/>
    <w:rsid w:val="002E25A1"/>
    <w:rsid w:val="002E32B6"/>
    <w:rsid w:val="002E4364"/>
    <w:rsid w:val="002E4A47"/>
    <w:rsid w:val="002E6813"/>
    <w:rsid w:val="002E6E92"/>
    <w:rsid w:val="002F0D58"/>
    <w:rsid w:val="002F23FD"/>
    <w:rsid w:val="002F2506"/>
    <w:rsid w:val="002F4E54"/>
    <w:rsid w:val="0030015E"/>
    <w:rsid w:val="00300835"/>
    <w:rsid w:val="00300AFA"/>
    <w:rsid w:val="00302F9C"/>
    <w:rsid w:val="00303959"/>
    <w:rsid w:val="003043C5"/>
    <w:rsid w:val="00304516"/>
    <w:rsid w:val="0030527A"/>
    <w:rsid w:val="00305EEE"/>
    <w:rsid w:val="003069F6"/>
    <w:rsid w:val="00307401"/>
    <w:rsid w:val="00307928"/>
    <w:rsid w:val="00311FD5"/>
    <w:rsid w:val="0031259E"/>
    <w:rsid w:val="00312C2C"/>
    <w:rsid w:val="00313D0C"/>
    <w:rsid w:val="0031401B"/>
    <w:rsid w:val="003147E9"/>
    <w:rsid w:val="00314FBF"/>
    <w:rsid w:val="00317BF0"/>
    <w:rsid w:val="0032028F"/>
    <w:rsid w:val="00320866"/>
    <w:rsid w:val="00320E3B"/>
    <w:rsid w:val="003228B1"/>
    <w:rsid w:val="00324443"/>
    <w:rsid w:val="00324A59"/>
    <w:rsid w:val="00325300"/>
    <w:rsid w:val="003257A9"/>
    <w:rsid w:val="00325E95"/>
    <w:rsid w:val="00330CF4"/>
    <w:rsid w:val="00330EA6"/>
    <w:rsid w:val="00330FA5"/>
    <w:rsid w:val="0033495E"/>
    <w:rsid w:val="00337B04"/>
    <w:rsid w:val="00341991"/>
    <w:rsid w:val="00341ADA"/>
    <w:rsid w:val="003420C2"/>
    <w:rsid w:val="00342263"/>
    <w:rsid w:val="00342B4C"/>
    <w:rsid w:val="00344745"/>
    <w:rsid w:val="003512AB"/>
    <w:rsid w:val="00351D78"/>
    <w:rsid w:val="003529C0"/>
    <w:rsid w:val="00355B15"/>
    <w:rsid w:val="00355F2D"/>
    <w:rsid w:val="003563E5"/>
    <w:rsid w:val="00360886"/>
    <w:rsid w:val="003608B4"/>
    <w:rsid w:val="0036095D"/>
    <w:rsid w:val="00360BB0"/>
    <w:rsid w:val="003620A5"/>
    <w:rsid w:val="003630FB"/>
    <w:rsid w:val="0036359E"/>
    <w:rsid w:val="003642BA"/>
    <w:rsid w:val="00364DAD"/>
    <w:rsid w:val="0036507B"/>
    <w:rsid w:val="0036510E"/>
    <w:rsid w:val="00367225"/>
    <w:rsid w:val="00370251"/>
    <w:rsid w:val="00371756"/>
    <w:rsid w:val="0037373B"/>
    <w:rsid w:val="0037379E"/>
    <w:rsid w:val="0037399D"/>
    <w:rsid w:val="00374930"/>
    <w:rsid w:val="00374D15"/>
    <w:rsid w:val="00375543"/>
    <w:rsid w:val="00376F8F"/>
    <w:rsid w:val="00377FE6"/>
    <w:rsid w:val="00380686"/>
    <w:rsid w:val="00381275"/>
    <w:rsid w:val="00381920"/>
    <w:rsid w:val="003831C4"/>
    <w:rsid w:val="00384AE8"/>
    <w:rsid w:val="0038728A"/>
    <w:rsid w:val="00392EB7"/>
    <w:rsid w:val="003934AB"/>
    <w:rsid w:val="003956B4"/>
    <w:rsid w:val="003A072D"/>
    <w:rsid w:val="003A2372"/>
    <w:rsid w:val="003A2FB5"/>
    <w:rsid w:val="003A4B4A"/>
    <w:rsid w:val="003B004D"/>
    <w:rsid w:val="003B0273"/>
    <w:rsid w:val="003B0D0C"/>
    <w:rsid w:val="003B1A5A"/>
    <w:rsid w:val="003B27E2"/>
    <w:rsid w:val="003B2E8C"/>
    <w:rsid w:val="003B40A8"/>
    <w:rsid w:val="003B544B"/>
    <w:rsid w:val="003B5D45"/>
    <w:rsid w:val="003B6AF8"/>
    <w:rsid w:val="003B7D16"/>
    <w:rsid w:val="003B7E3A"/>
    <w:rsid w:val="003C35D1"/>
    <w:rsid w:val="003C41FE"/>
    <w:rsid w:val="003C51A8"/>
    <w:rsid w:val="003C615D"/>
    <w:rsid w:val="003D0FBF"/>
    <w:rsid w:val="003D17C0"/>
    <w:rsid w:val="003D1F2B"/>
    <w:rsid w:val="003D2641"/>
    <w:rsid w:val="003D3015"/>
    <w:rsid w:val="003D372D"/>
    <w:rsid w:val="003D392D"/>
    <w:rsid w:val="003D4921"/>
    <w:rsid w:val="003E1111"/>
    <w:rsid w:val="003E1ABC"/>
    <w:rsid w:val="003E20B1"/>
    <w:rsid w:val="003E35BB"/>
    <w:rsid w:val="003E6D35"/>
    <w:rsid w:val="003E73A2"/>
    <w:rsid w:val="003E7A27"/>
    <w:rsid w:val="003E7CCB"/>
    <w:rsid w:val="003F26E3"/>
    <w:rsid w:val="003F6AB4"/>
    <w:rsid w:val="003F6C70"/>
    <w:rsid w:val="003F7649"/>
    <w:rsid w:val="003F7748"/>
    <w:rsid w:val="003F7C48"/>
    <w:rsid w:val="004001B2"/>
    <w:rsid w:val="00400ADB"/>
    <w:rsid w:val="00400FE3"/>
    <w:rsid w:val="00401800"/>
    <w:rsid w:val="00402498"/>
    <w:rsid w:val="0040587A"/>
    <w:rsid w:val="00407873"/>
    <w:rsid w:val="0041339E"/>
    <w:rsid w:val="004155CF"/>
    <w:rsid w:val="004167D0"/>
    <w:rsid w:val="00416977"/>
    <w:rsid w:val="004216A9"/>
    <w:rsid w:val="00424028"/>
    <w:rsid w:val="0042410B"/>
    <w:rsid w:val="00425555"/>
    <w:rsid w:val="004255A7"/>
    <w:rsid w:val="00425AF4"/>
    <w:rsid w:val="00427264"/>
    <w:rsid w:val="00430787"/>
    <w:rsid w:val="004316A0"/>
    <w:rsid w:val="00431816"/>
    <w:rsid w:val="004318A0"/>
    <w:rsid w:val="00435648"/>
    <w:rsid w:val="0043600B"/>
    <w:rsid w:val="004368A3"/>
    <w:rsid w:val="004370D2"/>
    <w:rsid w:val="00437A1A"/>
    <w:rsid w:val="00441B7C"/>
    <w:rsid w:val="004449A7"/>
    <w:rsid w:val="0044509C"/>
    <w:rsid w:val="00445F28"/>
    <w:rsid w:val="00446074"/>
    <w:rsid w:val="0044633D"/>
    <w:rsid w:val="00450D17"/>
    <w:rsid w:val="00452426"/>
    <w:rsid w:val="004533DB"/>
    <w:rsid w:val="00454BF3"/>
    <w:rsid w:val="004555F6"/>
    <w:rsid w:val="00456C5D"/>
    <w:rsid w:val="00460C77"/>
    <w:rsid w:val="00460DE2"/>
    <w:rsid w:val="00465185"/>
    <w:rsid w:val="0046543C"/>
    <w:rsid w:val="004665B5"/>
    <w:rsid w:val="004669B6"/>
    <w:rsid w:val="00470E7F"/>
    <w:rsid w:val="004721C1"/>
    <w:rsid w:val="00473242"/>
    <w:rsid w:val="00474340"/>
    <w:rsid w:val="00475620"/>
    <w:rsid w:val="00475C63"/>
    <w:rsid w:val="004774C5"/>
    <w:rsid w:val="004817FA"/>
    <w:rsid w:val="0048324D"/>
    <w:rsid w:val="00484DA5"/>
    <w:rsid w:val="0048514C"/>
    <w:rsid w:val="004857AC"/>
    <w:rsid w:val="0048594C"/>
    <w:rsid w:val="00487086"/>
    <w:rsid w:val="00487476"/>
    <w:rsid w:val="00492323"/>
    <w:rsid w:val="00492536"/>
    <w:rsid w:val="00492817"/>
    <w:rsid w:val="00493170"/>
    <w:rsid w:val="00493226"/>
    <w:rsid w:val="00495BEE"/>
    <w:rsid w:val="004961CD"/>
    <w:rsid w:val="00497840"/>
    <w:rsid w:val="00497BF8"/>
    <w:rsid w:val="004A07D4"/>
    <w:rsid w:val="004A2852"/>
    <w:rsid w:val="004A2FFC"/>
    <w:rsid w:val="004A30AB"/>
    <w:rsid w:val="004A32E8"/>
    <w:rsid w:val="004A33B2"/>
    <w:rsid w:val="004A476E"/>
    <w:rsid w:val="004A75CC"/>
    <w:rsid w:val="004B0F83"/>
    <w:rsid w:val="004B1299"/>
    <w:rsid w:val="004B1AAC"/>
    <w:rsid w:val="004B1C37"/>
    <w:rsid w:val="004B1CA3"/>
    <w:rsid w:val="004B27E6"/>
    <w:rsid w:val="004B2FB6"/>
    <w:rsid w:val="004B445D"/>
    <w:rsid w:val="004B5E60"/>
    <w:rsid w:val="004B7A10"/>
    <w:rsid w:val="004C065B"/>
    <w:rsid w:val="004C08BE"/>
    <w:rsid w:val="004C1586"/>
    <w:rsid w:val="004C329C"/>
    <w:rsid w:val="004C41B3"/>
    <w:rsid w:val="004C4257"/>
    <w:rsid w:val="004C42F1"/>
    <w:rsid w:val="004C74C9"/>
    <w:rsid w:val="004C757E"/>
    <w:rsid w:val="004D1AE2"/>
    <w:rsid w:val="004D5C41"/>
    <w:rsid w:val="004D64F4"/>
    <w:rsid w:val="004D684E"/>
    <w:rsid w:val="004D78DC"/>
    <w:rsid w:val="004D7C86"/>
    <w:rsid w:val="004D7DF6"/>
    <w:rsid w:val="004E415B"/>
    <w:rsid w:val="004E4E95"/>
    <w:rsid w:val="004E56A0"/>
    <w:rsid w:val="004E5C22"/>
    <w:rsid w:val="004E6D4F"/>
    <w:rsid w:val="004F04D2"/>
    <w:rsid w:val="004F3DAC"/>
    <w:rsid w:val="004F445B"/>
    <w:rsid w:val="004F5023"/>
    <w:rsid w:val="004F7341"/>
    <w:rsid w:val="004F75EA"/>
    <w:rsid w:val="005001AD"/>
    <w:rsid w:val="00500DDC"/>
    <w:rsid w:val="0050288E"/>
    <w:rsid w:val="00503231"/>
    <w:rsid w:val="00503E32"/>
    <w:rsid w:val="0050619A"/>
    <w:rsid w:val="00510D4D"/>
    <w:rsid w:val="005132F0"/>
    <w:rsid w:val="005134C6"/>
    <w:rsid w:val="00514566"/>
    <w:rsid w:val="0051744D"/>
    <w:rsid w:val="00517564"/>
    <w:rsid w:val="005200B0"/>
    <w:rsid w:val="00521FAC"/>
    <w:rsid w:val="005236BC"/>
    <w:rsid w:val="00523BD3"/>
    <w:rsid w:val="00523EDE"/>
    <w:rsid w:val="00524321"/>
    <w:rsid w:val="00525155"/>
    <w:rsid w:val="0052586C"/>
    <w:rsid w:val="00527CCE"/>
    <w:rsid w:val="005323F1"/>
    <w:rsid w:val="005326E0"/>
    <w:rsid w:val="00532C48"/>
    <w:rsid w:val="00534129"/>
    <w:rsid w:val="005345DB"/>
    <w:rsid w:val="005346B6"/>
    <w:rsid w:val="0053489A"/>
    <w:rsid w:val="00534995"/>
    <w:rsid w:val="0053556F"/>
    <w:rsid w:val="00535BE7"/>
    <w:rsid w:val="0054219C"/>
    <w:rsid w:val="005421F6"/>
    <w:rsid w:val="005429AF"/>
    <w:rsid w:val="00543598"/>
    <w:rsid w:val="00544305"/>
    <w:rsid w:val="00544779"/>
    <w:rsid w:val="00545D45"/>
    <w:rsid w:val="00545D6D"/>
    <w:rsid w:val="0054603A"/>
    <w:rsid w:val="00546E08"/>
    <w:rsid w:val="00547338"/>
    <w:rsid w:val="005501A4"/>
    <w:rsid w:val="00550460"/>
    <w:rsid w:val="005515B2"/>
    <w:rsid w:val="0055247E"/>
    <w:rsid w:val="00552F5C"/>
    <w:rsid w:val="005611B7"/>
    <w:rsid w:val="0056155A"/>
    <w:rsid w:val="00562059"/>
    <w:rsid w:val="00562DE5"/>
    <w:rsid w:val="00565074"/>
    <w:rsid w:val="0056678C"/>
    <w:rsid w:val="00566EA0"/>
    <w:rsid w:val="005673A6"/>
    <w:rsid w:val="00567B8B"/>
    <w:rsid w:val="005711E4"/>
    <w:rsid w:val="00573355"/>
    <w:rsid w:val="00573999"/>
    <w:rsid w:val="00573B37"/>
    <w:rsid w:val="005751B6"/>
    <w:rsid w:val="005768CC"/>
    <w:rsid w:val="00581F0A"/>
    <w:rsid w:val="005821ED"/>
    <w:rsid w:val="00582F1B"/>
    <w:rsid w:val="00583AF3"/>
    <w:rsid w:val="00585A49"/>
    <w:rsid w:val="0058660A"/>
    <w:rsid w:val="00590260"/>
    <w:rsid w:val="00591F4D"/>
    <w:rsid w:val="0059244F"/>
    <w:rsid w:val="00592A5D"/>
    <w:rsid w:val="00593CCB"/>
    <w:rsid w:val="0059580F"/>
    <w:rsid w:val="0059588D"/>
    <w:rsid w:val="005978BA"/>
    <w:rsid w:val="005979C2"/>
    <w:rsid w:val="00597BF0"/>
    <w:rsid w:val="005A0B34"/>
    <w:rsid w:val="005A0FB6"/>
    <w:rsid w:val="005A1E0E"/>
    <w:rsid w:val="005A3108"/>
    <w:rsid w:val="005A3C70"/>
    <w:rsid w:val="005A3CC2"/>
    <w:rsid w:val="005A5910"/>
    <w:rsid w:val="005A62FF"/>
    <w:rsid w:val="005A7551"/>
    <w:rsid w:val="005B0FF4"/>
    <w:rsid w:val="005B1A8A"/>
    <w:rsid w:val="005B1BF2"/>
    <w:rsid w:val="005B2999"/>
    <w:rsid w:val="005B2C4E"/>
    <w:rsid w:val="005B2D77"/>
    <w:rsid w:val="005B3CBF"/>
    <w:rsid w:val="005B7536"/>
    <w:rsid w:val="005C06A5"/>
    <w:rsid w:val="005C097D"/>
    <w:rsid w:val="005C1A5C"/>
    <w:rsid w:val="005C1C59"/>
    <w:rsid w:val="005C2ECF"/>
    <w:rsid w:val="005C42EB"/>
    <w:rsid w:val="005C4997"/>
    <w:rsid w:val="005C5B74"/>
    <w:rsid w:val="005C71A5"/>
    <w:rsid w:val="005D368D"/>
    <w:rsid w:val="005D7961"/>
    <w:rsid w:val="005D7F8B"/>
    <w:rsid w:val="005E12A2"/>
    <w:rsid w:val="005E20DE"/>
    <w:rsid w:val="005E2BF1"/>
    <w:rsid w:val="005E2E64"/>
    <w:rsid w:val="005E3B73"/>
    <w:rsid w:val="005E667F"/>
    <w:rsid w:val="005E74AA"/>
    <w:rsid w:val="005E7774"/>
    <w:rsid w:val="005E79AE"/>
    <w:rsid w:val="005F008A"/>
    <w:rsid w:val="005F0118"/>
    <w:rsid w:val="005F02AC"/>
    <w:rsid w:val="005F05A2"/>
    <w:rsid w:val="005F1679"/>
    <w:rsid w:val="005F3CA9"/>
    <w:rsid w:val="005F4861"/>
    <w:rsid w:val="006005BF"/>
    <w:rsid w:val="00600981"/>
    <w:rsid w:val="00600CB6"/>
    <w:rsid w:val="006015B5"/>
    <w:rsid w:val="006020A6"/>
    <w:rsid w:val="006023E9"/>
    <w:rsid w:val="00602FE4"/>
    <w:rsid w:val="00604EDA"/>
    <w:rsid w:val="00605BC9"/>
    <w:rsid w:val="006061BB"/>
    <w:rsid w:val="0060621D"/>
    <w:rsid w:val="006067B7"/>
    <w:rsid w:val="0060729B"/>
    <w:rsid w:val="006077C4"/>
    <w:rsid w:val="00607975"/>
    <w:rsid w:val="006107AF"/>
    <w:rsid w:val="0061130A"/>
    <w:rsid w:val="00613937"/>
    <w:rsid w:val="00613B4E"/>
    <w:rsid w:val="006146C5"/>
    <w:rsid w:val="00615207"/>
    <w:rsid w:val="00621140"/>
    <w:rsid w:val="006213A2"/>
    <w:rsid w:val="00621EFB"/>
    <w:rsid w:val="006222FF"/>
    <w:rsid w:val="00623DED"/>
    <w:rsid w:val="006260DB"/>
    <w:rsid w:val="0062791F"/>
    <w:rsid w:val="00630EAC"/>
    <w:rsid w:val="00631B92"/>
    <w:rsid w:val="00631CC1"/>
    <w:rsid w:val="0063287F"/>
    <w:rsid w:val="00635608"/>
    <w:rsid w:val="00635E2B"/>
    <w:rsid w:val="006400F6"/>
    <w:rsid w:val="00640FF8"/>
    <w:rsid w:val="006410FA"/>
    <w:rsid w:val="00641212"/>
    <w:rsid w:val="00641FA1"/>
    <w:rsid w:val="00642594"/>
    <w:rsid w:val="0064443C"/>
    <w:rsid w:val="00644CC6"/>
    <w:rsid w:val="00645A67"/>
    <w:rsid w:val="00647CCB"/>
    <w:rsid w:val="00650E47"/>
    <w:rsid w:val="0065128A"/>
    <w:rsid w:val="006518AE"/>
    <w:rsid w:val="00655603"/>
    <w:rsid w:val="00655D1F"/>
    <w:rsid w:val="006567E4"/>
    <w:rsid w:val="006576F7"/>
    <w:rsid w:val="00657D98"/>
    <w:rsid w:val="0066032C"/>
    <w:rsid w:val="00664DA3"/>
    <w:rsid w:val="006651F8"/>
    <w:rsid w:val="00667104"/>
    <w:rsid w:val="00667B53"/>
    <w:rsid w:val="00673E27"/>
    <w:rsid w:val="0067553F"/>
    <w:rsid w:val="00680402"/>
    <w:rsid w:val="00682B56"/>
    <w:rsid w:val="006830BE"/>
    <w:rsid w:val="00684171"/>
    <w:rsid w:val="006844B8"/>
    <w:rsid w:val="00685375"/>
    <w:rsid w:val="00686DD8"/>
    <w:rsid w:val="006873FD"/>
    <w:rsid w:val="006911A2"/>
    <w:rsid w:val="0069375A"/>
    <w:rsid w:val="0069398C"/>
    <w:rsid w:val="00695DC1"/>
    <w:rsid w:val="00696704"/>
    <w:rsid w:val="00697647"/>
    <w:rsid w:val="006A1C25"/>
    <w:rsid w:val="006A2038"/>
    <w:rsid w:val="006A261B"/>
    <w:rsid w:val="006A3E32"/>
    <w:rsid w:val="006A41D4"/>
    <w:rsid w:val="006A555C"/>
    <w:rsid w:val="006A5DC4"/>
    <w:rsid w:val="006A5FCD"/>
    <w:rsid w:val="006A7215"/>
    <w:rsid w:val="006B2C8A"/>
    <w:rsid w:val="006B3396"/>
    <w:rsid w:val="006B49A2"/>
    <w:rsid w:val="006B7DD5"/>
    <w:rsid w:val="006C048D"/>
    <w:rsid w:val="006C05ED"/>
    <w:rsid w:val="006C463C"/>
    <w:rsid w:val="006C4847"/>
    <w:rsid w:val="006C4D9C"/>
    <w:rsid w:val="006C60B9"/>
    <w:rsid w:val="006C7C8E"/>
    <w:rsid w:val="006D1B88"/>
    <w:rsid w:val="006D273E"/>
    <w:rsid w:val="006D351B"/>
    <w:rsid w:val="006D433B"/>
    <w:rsid w:val="006D4893"/>
    <w:rsid w:val="006D5EFE"/>
    <w:rsid w:val="006D5F02"/>
    <w:rsid w:val="006D7CA5"/>
    <w:rsid w:val="006E2A08"/>
    <w:rsid w:val="006E2D73"/>
    <w:rsid w:val="006E4EC6"/>
    <w:rsid w:val="006E4FF3"/>
    <w:rsid w:val="006E56AE"/>
    <w:rsid w:val="006E6F6F"/>
    <w:rsid w:val="006F1275"/>
    <w:rsid w:val="006F2A86"/>
    <w:rsid w:val="006F5508"/>
    <w:rsid w:val="006F7053"/>
    <w:rsid w:val="006F73E2"/>
    <w:rsid w:val="00700A22"/>
    <w:rsid w:val="007020CF"/>
    <w:rsid w:val="00702E74"/>
    <w:rsid w:val="00704D4F"/>
    <w:rsid w:val="0070537C"/>
    <w:rsid w:val="00705799"/>
    <w:rsid w:val="0070643B"/>
    <w:rsid w:val="007068EB"/>
    <w:rsid w:val="00706EAE"/>
    <w:rsid w:val="00707EA4"/>
    <w:rsid w:val="00711BF9"/>
    <w:rsid w:val="0071352A"/>
    <w:rsid w:val="00716F15"/>
    <w:rsid w:val="00717FFD"/>
    <w:rsid w:val="007209C5"/>
    <w:rsid w:val="00722BF3"/>
    <w:rsid w:val="00722F74"/>
    <w:rsid w:val="007232F9"/>
    <w:rsid w:val="00723871"/>
    <w:rsid w:val="00724EB2"/>
    <w:rsid w:val="0072517B"/>
    <w:rsid w:val="00725A31"/>
    <w:rsid w:val="00725B00"/>
    <w:rsid w:val="007260A0"/>
    <w:rsid w:val="007260C9"/>
    <w:rsid w:val="00730213"/>
    <w:rsid w:val="0073094C"/>
    <w:rsid w:val="00733F80"/>
    <w:rsid w:val="007341F9"/>
    <w:rsid w:val="00735B0A"/>
    <w:rsid w:val="00740A4A"/>
    <w:rsid w:val="0074143E"/>
    <w:rsid w:val="007417F5"/>
    <w:rsid w:val="00741DC8"/>
    <w:rsid w:val="00743EDE"/>
    <w:rsid w:val="00746947"/>
    <w:rsid w:val="00747ADF"/>
    <w:rsid w:val="00750B3D"/>
    <w:rsid w:val="00750BB5"/>
    <w:rsid w:val="00751338"/>
    <w:rsid w:val="00751527"/>
    <w:rsid w:val="00753420"/>
    <w:rsid w:val="007537D9"/>
    <w:rsid w:val="0075560D"/>
    <w:rsid w:val="00755758"/>
    <w:rsid w:val="00755A4B"/>
    <w:rsid w:val="007575BD"/>
    <w:rsid w:val="00757939"/>
    <w:rsid w:val="00757F37"/>
    <w:rsid w:val="00760574"/>
    <w:rsid w:val="00760CF3"/>
    <w:rsid w:val="00764B44"/>
    <w:rsid w:val="00765DA1"/>
    <w:rsid w:val="00766732"/>
    <w:rsid w:val="007727BD"/>
    <w:rsid w:val="0077282A"/>
    <w:rsid w:val="00773F03"/>
    <w:rsid w:val="0077489C"/>
    <w:rsid w:val="00775AF6"/>
    <w:rsid w:val="00775E39"/>
    <w:rsid w:val="00776577"/>
    <w:rsid w:val="00777154"/>
    <w:rsid w:val="00781B5C"/>
    <w:rsid w:val="00783216"/>
    <w:rsid w:val="00783B1D"/>
    <w:rsid w:val="007855BF"/>
    <w:rsid w:val="00785878"/>
    <w:rsid w:val="00785D4A"/>
    <w:rsid w:val="00786B66"/>
    <w:rsid w:val="007910F1"/>
    <w:rsid w:val="00791C9E"/>
    <w:rsid w:val="007920E8"/>
    <w:rsid w:val="00794A43"/>
    <w:rsid w:val="0079507C"/>
    <w:rsid w:val="00795449"/>
    <w:rsid w:val="0079704B"/>
    <w:rsid w:val="00797E26"/>
    <w:rsid w:val="007A055F"/>
    <w:rsid w:val="007A2096"/>
    <w:rsid w:val="007A2E09"/>
    <w:rsid w:val="007A2F31"/>
    <w:rsid w:val="007A40ED"/>
    <w:rsid w:val="007A6FB8"/>
    <w:rsid w:val="007B036F"/>
    <w:rsid w:val="007B0DC3"/>
    <w:rsid w:val="007B14EE"/>
    <w:rsid w:val="007B151D"/>
    <w:rsid w:val="007B17F7"/>
    <w:rsid w:val="007B1F0D"/>
    <w:rsid w:val="007B23C0"/>
    <w:rsid w:val="007B27E1"/>
    <w:rsid w:val="007B33AE"/>
    <w:rsid w:val="007B42CC"/>
    <w:rsid w:val="007B4610"/>
    <w:rsid w:val="007B4DFD"/>
    <w:rsid w:val="007B6116"/>
    <w:rsid w:val="007B7002"/>
    <w:rsid w:val="007C3FA1"/>
    <w:rsid w:val="007C5E14"/>
    <w:rsid w:val="007C60ED"/>
    <w:rsid w:val="007C7417"/>
    <w:rsid w:val="007C7BD8"/>
    <w:rsid w:val="007D10F7"/>
    <w:rsid w:val="007D1405"/>
    <w:rsid w:val="007D577F"/>
    <w:rsid w:val="007D7E82"/>
    <w:rsid w:val="007E1BED"/>
    <w:rsid w:val="007E211D"/>
    <w:rsid w:val="007E2DF8"/>
    <w:rsid w:val="007E357B"/>
    <w:rsid w:val="007E3844"/>
    <w:rsid w:val="007F0987"/>
    <w:rsid w:val="007F0EDA"/>
    <w:rsid w:val="007F4513"/>
    <w:rsid w:val="007F4879"/>
    <w:rsid w:val="007F4940"/>
    <w:rsid w:val="007F4A91"/>
    <w:rsid w:val="007F4EC2"/>
    <w:rsid w:val="007F644B"/>
    <w:rsid w:val="00800CCB"/>
    <w:rsid w:val="00801BBD"/>
    <w:rsid w:val="008032D5"/>
    <w:rsid w:val="008065F3"/>
    <w:rsid w:val="00806CCA"/>
    <w:rsid w:val="00806D35"/>
    <w:rsid w:val="00806FA1"/>
    <w:rsid w:val="00810A26"/>
    <w:rsid w:val="00811BD8"/>
    <w:rsid w:val="00813813"/>
    <w:rsid w:val="008146E9"/>
    <w:rsid w:val="00816D2C"/>
    <w:rsid w:val="00820B22"/>
    <w:rsid w:val="00822861"/>
    <w:rsid w:val="00822E16"/>
    <w:rsid w:val="00823585"/>
    <w:rsid w:val="00826C9F"/>
    <w:rsid w:val="00830143"/>
    <w:rsid w:val="0083037A"/>
    <w:rsid w:val="00830953"/>
    <w:rsid w:val="00832117"/>
    <w:rsid w:val="00832BC4"/>
    <w:rsid w:val="00833088"/>
    <w:rsid w:val="008358DE"/>
    <w:rsid w:val="00835CC5"/>
    <w:rsid w:val="0083644E"/>
    <w:rsid w:val="008370CD"/>
    <w:rsid w:val="0084109E"/>
    <w:rsid w:val="00841B4E"/>
    <w:rsid w:val="00841F90"/>
    <w:rsid w:val="0084240D"/>
    <w:rsid w:val="0084341C"/>
    <w:rsid w:val="0084550E"/>
    <w:rsid w:val="0084653E"/>
    <w:rsid w:val="008472E5"/>
    <w:rsid w:val="008473AA"/>
    <w:rsid w:val="00847EF3"/>
    <w:rsid w:val="00850C25"/>
    <w:rsid w:val="00850F76"/>
    <w:rsid w:val="00851D85"/>
    <w:rsid w:val="008538A0"/>
    <w:rsid w:val="008550EB"/>
    <w:rsid w:val="00856AE1"/>
    <w:rsid w:val="00857EF3"/>
    <w:rsid w:val="008600CE"/>
    <w:rsid w:val="00860DDB"/>
    <w:rsid w:val="0086282C"/>
    <w:rsid w:val="00862951"/>
    <w:rsid w:val="0086300A"/>
    <w:rsid w:val="0086329E"/>
    <w:rsid w:val="0086360B"/>
    <w:rsid w:val="00864C2D"/>
    <w:rsid w:val="008653F2"/>
    <w:rsid w:val="00871DE1"/>
    <w:rsid w:val="008748F1"/>
    <w:rsid w:val="00875856"/>
    <w:rsid w:val="008763AB"/>
    <w:rsid w:val="008765F1"/>
    <w:rsid w:val="00881212"/>
    <w:rsid w:val="008818C5"/>
    <w:rsid w:val="00881AA4"/>
    <w:rsid w:val="0088250C"/>
    <w:rsid w:val="008829A0"/>
    <w:rsid w:val="008830C4"/>
    <w:rsid w:val="00885FB4"/>
    <w:rsid w:val="00886D7D"/>
    <w:rsid w:val="0089044C"/>
    <w:rsid w:val="00893925"/>
    <w:rsid w:val="00894D87"/>
    <w:rsid w:val="00895C2D"/>
    <w:rsid w:val="00896F13"/>
    <w:rsid w:val="008A12B9"/>
    <w:rsid w:val="008A1F8B"/>
    <w:rsid w:val="008A2EE4"/>
    <w:rsid w:val="008A413C"/>
    <w:rsid w:val="008A41B1"/>
    <w:rsid w:val="008A63F9"/>
    <w:rsid w:val="008A66B9"/>
    <w:rsid w:val="008B3357"/>
    <w:rsid w:val="008B5086"/>
    <w:rsid w:val="008B5886"/>
    <w:rsid w:val="008B5D76"/>
    <w:rsid w:val="008B5EF3"/>
    <w:rsid w:val="008B658D"/>
    <w:rsid w:val="008B705F"/>
    <w:rsid w:val="008B70BA"/>
    <w:rsid w:val="008B7348"/>
    <w:rsid w:val="008B7795"/>
    <w:rsid w:val="008B7C41"/>
    <w:rsid w:val="008C0736"/>
    <w:rsid w:val="008C0AD8"/>
    <w:rsid w:val="008C0E0B"/>
    <w:rsid w:val="008C2C0F"/>
    <w:rsid w:val="008C469A"/>
    <w:rsid w:val="008C4E6E"/>
    <w:rsid w:val="008C5DF8"/>
    <w:rsid w:val="008C5FFC"/>
    <w:rsid w:val="008D088E"/>
    <w:rsid w:val="008D15CA"/>
    <w:rsid w:val="008D1DDA"/>
    <w:rsid w:val="008D23A0"/>
    <w:rsid w:val="008D30DA"/>
    <w:rsid w:val="008D365B"/>
    <w:rsid w:val="008D5C7D"/>
    <w:rsid w:val="008E189E"/>
    <w:rsid w:val="008F0A38"/>
    <w:rsid w:val="008F213E"/>
    <w:rsid w:val="008F2648"/>
    <w:rsid w:val="008F36D2"/>
    <w:rsid w:val="008F374D"/>
    <w:rsid w:val="008F5DED"/>
    <w:rsid w:val="008F6D61"/>
    <w:rsid w:val="0090075C"/>
    <w:rsid w:val="00900CF3"/>
    <w:rsid w:val="009013D3"/>
    <w:rsid w:val="00901C4D"/>
    <w:rsid w:val="0090209F"/>
    <w:rsid w:val="00910B55"/>
    <w:rsid w:val="00912199"/>
    <w:rsid w:val="00914CB4"/>
    <w:rsid w:val="00917A9D"/>
    <w:rsid w:val="00920AFE"/>
    <w:rsid w:val="00920E7D"/>
    <w:rsid w:val="00921514"/>
    <w:rsid w:val="00924220"/>
    <w:rsid w:val="00927B0A"/>
    <w:rsid w:val="00931760"/>
    <w:rsid w:val="00931E4F"/>
    <w:rsid w:val="0093227D"/>
    <w:rsid w:val="0093755F"/>
    <w:rsid w:val="009418A0"/>
    <w:rsid w:val="0094288B"/>
    <w:rsid w:val="00943976"/>
    <w:rsid w:val="00943B5B"/>
    <w:rsid w:val="00943C9A"/>
    <w:rsid w:val="00943D1A"/>
    <w:rsid w:val="00943E26"/>
    <w:rsid w:val="00946CCF"/>
    <w:rsid w:val="00950C17"/>
    <w:rsid w:val="00950DF2"/>
    <w:rsid w:val="00950EFD"/>
    <w:rsid w:val="00951A03"/>
    <w:rsid w:val="009521ED"/>
    <w:rsid w:val="00952B7B"/>
    <w:rsid w:val="00953586"/>
    <w:rsid w:val="009535AB"/>
    <w:rsid w:val="00953A00"/>
    <w:rsid w:val="00954185"/>
    <w:rsid w:val="009562FA"/>
    <w:rsid w:val="00956C5D"/>
    <w:rsid w:val="00961A8F"/>
    <w:rsid w:val="00962841"/>
    <w:rsid w:val="00962B76"/>
    <w:rsid w:val="00963A96"/>
    <w:rsid w:val="00963C67"/>
    <w:rsid w:val="00965341"/>
    <w:rsid w:val="009663B9"/>
    <w:rsid w:val="00967C7F"/>
    <w:rsid w:val="00970C3E"/>
    <w:rsid w:val="00972666"/>
    <w:rsid w:val="0097364B"/>
    <w:rsid w:val="009736B1"/>
    <w:rsid w:val="00973BCC"/>
    <w:rsid w:val="00977D57"/>
    <w:rsid w:val="009801BB"/>
    <w:rsid w:val="00981A60"/>
    <w:rsid w:val="00982522"/>
    <w:rsid w:val="0098600A"/>
    <w:rsid w:val="009916E8"/>
    <w:rsid w:val="00992359"/>
    <w:rsid w:val="00995C96"/>
    <w:rsid w:val="00996471"/>
    <w:rsid w:val="00997176"/>
    <w:rsid w:val="0099723D"/>
    <w:rsid w:val="009A0108"/>
    <w:rsid w:val="009A0717"/>
    <w:rsid w:val="009A08E6"/>
    <w:rsid w:val="009A1D90"/>
    <w:rsid w:val="009A1E66"/>
    <w:rsid w:val="009A5A43"/>
    <w:rsid w:val="009A5DE9"/>
    <w:rsid w:val="009A7100"/>
    <w:rsid w:val="009B0429"/>
    <w:rsid w:val="009B091F"/>
    <w:rsid w:val="009B0A6B"/>
    <w:rsid w:val="009B0AEB"/>
    <w:rsid w:val="009B1455"/>
    <w:rsid w:val="009B14E1"/>
    <w:rsid w:val="009B21DA"/>
    <w:rsid w:val="009B4946"/>
    <w:rsid w:val="009B61C1"/>
    <w:rsid w:val="009B6827"/>
    <w:rsid w:val="009B690E"/>
    <w:rsid w:val="009C1DB5"/>
    <w:rsid w:val="009C2F98"/>
    <w:rsid w:val="009C5505"/>
    <w:rsid w:val="009C6DE8"/>
    <w:rsid w:val="009D005B"/>
    <w:rsid w:val="009D2146"/>
    <w:rsid w:val="009D3194"/>
    <w:rsid w:val="009D3560"/>
    <w:rsid w:val="009D385D"/>
    <w:rsid w:val="009D3E14"/>
    <w:rsid w:val="009D47F3"/>
    <w:rsid w:val="009D5B37"/>
    <w:rsid w:val="009D726C"/>
    <w:rsid w:val="009D7E2B"/>
    <w:rsid w:val="009E010A"/>
    <w:rsid w:val="009E0597"/>
    <w:rsid w:val="009E0787"/>
    <w:rsid w:val="009E0B06"/>
    <w:rsid w:val="009E2511"/>
    <w:rsid w:val="009E2735"/>
    <w:rsid w:val="009E720B"/>
    <w:rsid w:val="009F02E9"/>
    <w:rsid w:val="009F037B"/>
    <w:rsid w:val="009F13C7"/>
    <w:rsid w:val="009F21D3"/>
    <w:rsid w:val="009F27AF"/>
    <w:rsid w:val="009F2ED2"/>
    <w:rsid w:val="009F546A"/>
    <w:rsid w:val="009F552C"/>
    <w:rsid w:val="009F6DFA"/>
    <w:rsid w:val="009F7DFD"/>
    <w:rsid w:val="00A00A20"/>
    <w:rsid w:val="00A00BDA"/>
    <w:rsid w:val="00A00CEF"/>
    <w:rsid w:val="00A05221"/>
    <w:rsid w:val="00A0541C"/>
    <w:rsid w:val="00A074D1"/>
    <w:rsid w:val="00A13B02"/>
    <w:rsid w:val="00A13F04"/>
    <w:rsid w:val="00A1487C"/>
    <w:rsid w:val="00A14C59"/>
    <w:rsid w:val="00A14CC7"/>
    <w:rsid w:val="00A1704B"/>
    <w:rsid w:val="00A177BB"/>
    <w:rsid w:val="00A20753"/>
    <w:rsid w:val="00A21263"/>
    <w:rsid w:val="00A22C18"/>
    <w:rsid w:val="00A2472E"/>
    <w:rsid w:val="00A27041"/>
    <w:rsid w:val="00A27B6E"/>
    <w:rsid w:val="00A304A6"/>
    <w:rsid w:val="00A31AB5"/>
    <w:rsid w:val="00A32B0D"/>
    <w:rsid w:val="00A35D59"/>
    <w:rsid w:val="00A36AD1"/>
    <w:rsid w:val="00A37D9C"/>
    <w:rsid w:val="00A42DED"/>
    <w:rsid w:val="00A42F65"/>
    <w:rsid w:val="00A44F04"/>
    <w:rsid w:val="00A45B63"/>
    <w:rsid w:val="00A46CF0"/>
    <w:rsid w:val="00A474D9"/>
    <w:rsid w:val="00A5034D"/>
    <w:rsid w:val="00A50623"/>
    <w:rsid w:val="00A5190A"/>
    <w:rsid w:val="00A519B9"/>
    <w:rsid w:val="00A51BB2"/>
    <w:rsid w:val="00A51F26"/>
    <w:rsid w:val="00A530EB"/>
    <w:rsid w:val="00A5313F"/>
    <w:rsid w:val="00A5457F"/>
    <w:rsid w:val="00A54B54"/>
    <w:rsid w:val="00A552C8"/>
    <w:rsid w:val="00A55702"/>
    <w:rsid w:val="00A60BAB"/>
    <w:rsid w:val="00A60D32"/>
    <w:rsid w:val="00A6403E"/>
    <w:rsid w:val="00A64CD1"/>
    <w:rsid w:val="00A66659"/>
    <w:rsid w:val="00A669AD"/>
    <w:rsid w:val="00A67DB5"/>
    <w:rsid w:val="00A7070C"/>
    <w:rsid w:val="00A70F35"/>
    <w:rsid w:val="00A72DE5"/>
    <w:rsid w:val="00A73ECD"/>
    <w:rsid w:val="00A74023"/>
    <w:rsid w:val="00A74C6B"/>
    <w:rsid w:val="00A7673B"/>
    <w:rsid w:val="00A76D11"/>
    <w:rsid w:val="00A770B6"/>
    <w:rsid w:val="00A80120"/>
    <w:rsid w:val="00A8144E"/>
    <w:rsid w:val="00A8545E"/>
    <w:rsid w:val="00A86200"/>
    <w:rsid w:val="00A86562"/>
    <w:rsid w:val="00A8759D"/>
    <w:rsid w:val="00A90B52"/>
    <w:rsid w:val="00A931DA"/>
    <w:rsid w:val="00A93692"/>
    <w:rsid w:val="00A93A91"/>
    <w:rsid w:val="00A94D3B"/>
    <w:rsid w:val="00A95405"/>
    <w:rsid w:val="00A95C5E"/>
    <w:rsid w:val="00A976DE"/>
    <w:rsid w:val="00AA004A"/>
    <w:rsid w:val="00AA1994"/>
    <w:rsid w:val="00AA4571"/>
    <w:rsid w:val="00AA45DA"/>
    <w:rsid w:val="00AA630D"/>
    <w:rsid w:val="00AA666A"/>
    <w:rsid w:val="00AA757F"/>
    <w:rsid w:val="00AB65F8"/>
    <w:rsid w:val="00AB783E"/>
    <w:rsid w:val="00AB7E41"/>
    <w:rsid w:val="00AB7F43"/>
    <w:rsid w:val="00AC1093"/>
    <w:rsid w:val="00AC2C31"/>
    <w:rsid w:val="00AC4F04"/>
    <w:rsid w:val="00AC5E16"/>
    <w:rsid w:val="00AC5F49"/>
    <w:rsid w:val="00AD37D0"/>
    <w:rsid w:val="00AE17DB"/>
    <w:rsid w:val="00AE1890"/>
    <w:rsid w:val="00AE36B5"/>
    <w:rsid w:val="00AE4060"/>
    <w:rsid w:val="00AE4AFA"/>
    <w:rsid w:val="00AE759B"/>
    <w:rsid w:val="00AF052A"/>
    <w:rsid w:val="00AF0B78"/>
    <w:rsid w:val="00AF1AF0"/>
    <w:rsid w:val="00AF2503"/>
    <w:rsid w:val="00AF5603"/>
    <w:rsid w:val="00AF5FB5"/>
    <w:rsid w:val="00AF79C3"/>
    <w:rsid w:val="00AF7D8A"/>
    <w:rsid w:val="00B002D6"/>
    <w:rsid w:val="00B01EEB"/>
    <w:rsid w:val="00B03198"/>
    <w:rsid w:val="00B034A7"/>
    <w:rsid w:val="00B0408E"/>
    <w:rsid w:val="00B04BA7"/>
    <w:rsid w:val="00B04DFD"/>
    <w:rsid w:val="00B05E3B"/>
    <w:rsid w:val="00B06485"/>
    <w:rsid w:val="00B066E1"/>
    <w:rsid w:val="00B06C8F"/>
    <w:rsid w:val="00B1119D"/>
    <w:rsid w:val="00B132D1"/>
    <w:rsid w:val="00B2038B"/>
    <w:rsid w:val="00B21A0A"/>
    <w:rsid w:val="00B222F1"/>
    <w:rsid w:val="00B23168"/>
    <w:rsid w:val="00B2353A"/>
    <w:rsid w:val="00B23F31"/>
    <w:rsid w:val="00B24BE5"/>
    <w:rsid w:val="00B24CD2"/>
    <w:rsid w:val="00B2537B"/>
    <w:rsid w:val="00B261FF"/>
    <w:rsid w:val="00B2662D"/>
    <w:rsid w:val="00B26A29"/>
    <w:rsid w:val="00B30070"/>
    <w:rsid w:val="00B30BFA"/>
    <w:rsid w:val="00B31187"/>
    <w:rsid w:val="00B32F43"/>
    <w:rsid w:val="00B33755"/>
    <w:rsid w:val="00B33B99"/>
    <w:rsid w:val="00B35ADA"/>
    <w:rsid w:val="00B3748D"/>
    <w:rsid w:val="00B40DF3"/>
    <w:rsid w:val="00B40EB2"/>
    <w:rsid w:val="00B40FB2"/>
    <w:rsid w:val="00B4105C"/>
    <w:rsid w:val="00B41883"/>
    <w:rsid w:val="00B44231"/>
    <w:rsid w:val="00B461AD"/>
    <w:rsid w:val="00B465E4"/>
    <w:rsid w:val="00B46D2A"/>
    <w:rsid w:val="00B46FA4"/>
    <w:rsid w:val="00B52476"/>
    <w:rsid w:val="00B534A3"/>
    <w:rsid w:val="00B55834"/>
    <w:rsid w:val="00B55EEC"/>
    <w:rsid w:val="00B55F77"/>
    <w:rsid w:val="00B60DB8"/>
    <w:rsid w:val="00B61637"/>
    <w:rsid w:val="00B6278D"/>
    <w:rsid w:val="00B62E87"/>
    <w:rsid w:val="00B630C5"/>
    <w:rsid w:val="00B64453"/>
    <w:rsid w:val="00B64EEB"/>
    <w:rsid w:val="00B65225"/>
    <w:rsid w:val="00B65677"/>
    <w:rsid w:val="00B66018"/>
    <w:rsid w:val="00B71133"/>
    <w:rsid w:val="00B73FDC"/>
    <w:rsid w:val="00B750F8"/>
    <w:rsid w:val="00B76D44"/>
    <w:rsid w:val="00B76DA7"/>
    <w:rsid w:val="00B80472"/>
    <w:rsid w:val="00B8126D"/>
    <w:rsid w:val="00B82769"/>
    <w:rsid w:val="00B82D2E"/>
    <w:rsid w:val="00B836FD"/>
    <w:rsid w:val="00B83AB1"/>
    <w:rsid w:val="00B8418F"/>
    <w:rsid w:val="00B85445"/>
    <w:rsid w:val="00B86F97"/>
    <w:rsid w:val="00B87B27"/>
    <w:rsid w:val="00B87EA2"/>
    <w:rsid w:val="00B90F9A"/>
    <w:rsid w:val="00B9369D"/>
    <w:rsid w:val="00B94CB1"/>
    <w:rsid w:val="00B94D06"/>
    <w:rsid w:val="00B9506F"/>
    <w:rsid w:val="00B956EA"/>
    <w:rsid w:val="00B95E43"/>
    <w:rsid w:val="00B973C7"/>
    <w:rsid w:val="00BA06FE"/>
    <w:rsid w:val="00BA116E"/>
    <w:rsid w:val="00BA26E8"/>
    <w:rsid w:val="00BA28CD"/>
    <w:rsid w:val="00BA2F4F"/>
    <w:rsid w:val="00BA353E"/>
    <w:rsid w:val="00BA36F0"/>
    <w:rsid w:val="00BA4019"/>
    <w:rsid w:val="00BA46E6"/>
    <w:rsid w:val="00BA6291"/>
    <w:rsid w:val="00BB0324"/>
    <w:rsid w:val="00BB146D"/>
    <w:rsid w:val="00BB279C"/>
    <w:rsid w:val="00BB5E19"/>
    <w:rsid w:val="00BB6075"/>
    <w:rsid w:val="00BB6A87"/>
    <w:rsid w:val="00BC17B1"/>
    <w:rsid w:val="00BC2B11"/>
    <w:rsid w:val="00BC2C96"/>
    <w:rsid w:val="00BC341E"/>
    <w:rsid w:val="00BC34A7"/>
    <w:rsid w:val="00BC3E2C"/>
    <w:rsid w:val="00BC5371"/>
    <w:rsid w:val="00BD1626"/>
    <w:rsid w:val="00BD19BA"/>
    <w:rsid w:val="00BD6260"/>
    <w:rsid w:val="00BE0126"/>
    <w:rsid w:val="00BE090E"/>
    <w:rsid w:val="00BE395E"/>
    <w:rsid w:val="00BE618E"/>
    <w:rsid w:val="00BE7542"/>
    <w:rsid w:val="00BE76A1"/>
    <w:rsid w:val="00BE77E2"/>
    <w:rsid w:val="00BF0D3D"/>
    <w:rsid w:val="00BF1178"/>
    <w:rsid w:val="00BF19A0"/>
    <w:rsid w:val="00BF1A99"/>
    <w:rsid w:val="00BF1BAF"/>
    <w:rsid w:val="00BF40C2"/>
    <w:rsid w:val="00BF54C3"/>
    <w:rsid w:val="00BF5C04"/>
    <w:rsid w:val="00BF7AB5"/>
    <w:rsid w:val="00C02F17"/>
    <w:rsid w:val="00C03B2F"/>
    <w:rsid w:val="00C05534"/>
    <w:rsid w:val="00C06C93"/>
    <w:rsid w:val="00C07511"/>
    <w:rsid w:val="00C10A1F"/>
    <w:rsid w:val="00C11F5B"/>
    <w:rsid w:val="00C12FBA"/>
    <w:rsid w:val="00C14848"/>
    <w:rsid w:val="00C205A8"/>
    <w:rsid w:val="00C23CED"/>
    <w:rsid w:val="00C26B14"/>
    <w:rsid w:val="00C27BB0"/>
    <w:rsid w:val="00C31969"/>
    <w:rsid w:val="00C31C70"/>
    <w:rsid w:val="00C32697"/>
    <w:rsid w:val="00C34BCE"/>
    <w:rsid w:val="00C360BB"/>
    <w:rsid w:val="00C362F6"/>
    <w:rsid w:val="00C37D20"/>
    <w:rsid w:val="00C4016D"/>
    <w:rsid w:val="00C44597"/>
    <w:rsid w:val="00C44828"/>
    <w:rsid w:val="00C45648"/>
    <w:rsid w:val="00C47ECF"/>
    <w:rsid w:val="00C50259"/>
    <w:rsid w:val="00C50F37"/>
    <w:rsid w:val="00C51C76"/>
    <w:rsid w:val="00C535EA"/>
    <w:rsid w:val="00C57C9F"/>
    <w:rsid w:val="00C6055E"/>
    <w:rsid w:val="00C625FD"/>
    <w:rsid w:val="00C636D0"/>
    <w:rsid w:val="00C64058"/>
    <w:rsid w:val="00C64D0F"/>
    <w:rsid w:val="00C65881"/>
    <w:rsid w:val="00C65F0E"/>
    <w:rsid w:val="00C66862"/>
    <w:rsid w:val="00C67E13"/>
    <w:rsid w:val="00C703C0"/>
    <w:rsid w:val="00C71C2D"/>
    <w:rsid w:val="00C71FB6"/>
    <w:rsid w:val="00C736D9"/>
    <w:rsid w:val="00C7389A"/>
    <w:rsid w:val="00C73C7F"/>
    <w:rsid w:val="00C74E6B"/>
    <w:rsid w:val="00C7562E"/>
    <w:rsid w:val="00C76C2D"/>
    <w:rsid w:val="00C80463"/>
    <w:rsid w:val="00C811E0"/>
    <w:rsid w:val="00C812A1"/>
    <w:rsid w:val="00C8310E"/>
    <w:rsid w:val="00C8445F"/>
    <w:rsid w:val="00C8491B"/>
    <w:rsid w:val="00C85C93"/>
    <w:rsid w:val="00C864CC"/>
    <w:rsid w:val="00C874C8"/>
    <w:rsid w:val="00C87C41"/>
    <w:rsid w:val="00C91278"/>
    <w:rsid w:val="00C93C34"/>
    <w:rsid w:val="00C95333"/>
    <w:rsid w:val="00C9550B"/>
    <w:rsid w:val="00C96287"/>
    <w:rsid w:val="00C972BE"/>
    <w:rsid w:val="00CA0379"/>
    <w:rsid w:val="00CA204F"/>
    <w:rsid w:val="00CA207A"/>
    <w:rsid w:val="00CA34E0"/>
    <w:rsid w:val="00CA380F"/>
    <w:rsid w:val="00CA42A3"/>
    <w:rsid w:val="00CA4A48"/>
    <w:rsid w:val="00CA5F9E"/>
    <w:rsid w:val="00CA61E4"/>
    <w:rsid w:val="00CA7510"/>
    <w:rsid w:val="00CA7DC7"/>
    <w:rsid w:val="00CB0A45"/>
    <w:rsid w:val="00CB1543"/>
    <w:rsid w:val="00CB2840"/>
    <w:rsid w:val="00CB330B"/>
    <w:rsid w:val="00CB3EA7"/>
    <w:rsid w:val="00CB43A2"/>
    <w:rsid w:val="00CB7F5C"/>
    <w:rsid w:val="00CC035F"/>
    <w:rsid w:val="00CC0814"/>
    <w:rsid w:val="00CC0A73"/>
    <w:rsid w:val="00CC0AC1"/>
    <w:rsid w:val="00CC4742"/>
    <w:rsid w:val="00CC6797"/>
    <w:rsid w:val="00CC7085"/>
    <w:rsid w:val="00CC7A7B"/>
    <w:rsid w:val="00CC7AF6"/>
    <w:rsid w:val="00CC7FA1"/>
    <w:rsid w:val="00CD1C96"/>
    <w:rsid w:val="00CD23D6"/>
    <w:rsid w:val="00CD281B"/>
    <w:rsid w:val="00CD5A31"/>
    <w:rsid w:val="00CD626A"/>
    <w:rsid w:val="00CD7ABD"/>
    <w:rsid w:val="00CE050B"/>
    <w:rsid w:val="00CE0737"/>
    <w:rsid w:val="00CE2E84"/>
    <w:rsid w:val="00CE2F1A"/>
    <w:rsid w:val="00CE4AE3"/>
    <w:rsid w:val="00CE5AB9"/>
    <w:rsid w:val="00CE6BE3"/>
    <w:rsid w:val="00CF014B"/>
    <w:rsid w:val="00CF1527"/>
    <w:rsid w:val="00CF2DC4"/>
    <w:rsid w:val="00CF3B0F"/>
    <w:rsid w:val="00CF43B5"/>
    <w:rsid w:val="00CF4CE0"/>
    <w:rsid w:val="00CF556D"/>
    <w:rsid w:val="00CF63B4"/>
    <w:rsid w:val="00CF680E"/>
    <w:rsid w:val="00D0012D"/>
    <w:rsid w:val="00D001A2"/>
    <w:rsid w:val="00D01FFA"/>
    <w:rsid w:val="00D02A56"/>
    <w:rsid w:val="00D03BA6"/>
    <w:rsid w:val="00D06405"/>
    <w:rsid w:val="00D069C7"/>
    <w:rsid w:val="00D070DA"/>
    <w:rsid w:val="00D076C0"/>
    <w:rsid w:val="00D1047E"/>
    <w:rsid w:val="00D10A8C"/>
    <w:rsid w:val="00D10F31"/>
    <w:rsid w:val="00D11334"/>
    <w:rsid w:val="00D12B47"/>
    <w:rsid w:val="00D14270"/>
    <w:rsid w:val="00D14550"/>
    <w:rsid w:val="00D17621"/>
    <w:rsid w:val="00D17983"/>
    <w:rsid w:val="00D207A2"/>
    <w:rsid w:val="00D217CC"/>
    <w:rsid w:val="00D21DDA"/>
    <w:rsid w:val="00D2220C"/>
    <w:rsid w:val="00D2686C"/>
    <w:rsid w:val="00D26CB2"/>
    <w:rsid w:val="00D27421"/>
    <w:rsid w:val="00D27A5D"/>
    <w:rsid w:val="00D30DE8"/>
    <w:rsid w:val="00D313DB"/>
    <w:rsid w:val="00D3141C"/>
    <w:rsid w:val="00D325D2"/>
    <w:rsid w:val="00D34579"/>
    <w:rsid w:val="00D345EF"/>
    <w:rsid w:val="00D3524D"/>
    <w:rsid w:val="00D401D9"/>
    <w:rsid w:val="00D4122B"/>
    <w:rsid w:val="00D43ECF"/>
    <w:rsid w:val="00D450BE"/>
    <w:rsid w:val="00D45749"/>
    <w:rsid w:val="00D45BEF"/>
    <w:rsid w:val="00D45CD9"/>
    <w:rsid w:val="00D4611D"/>
    <w:rsid w:val="00D470FA"/>
    <w:rsid w:val="00D5012D"/>
    <w:rsid w:val="00D50482"/>
    <w:rsid w:val="00D51EA9"/>
    <w:rsid w:val="00D52287"/>
    <w:rsid w:val="00D54B83"/>
    <w:rsid w:val="00D55B52"/>
    <w:rsid w:val="00D561A5"/>
    <w:rsid w:val="00D56C60"/>
    <w:rsid w:val="00D56CD9"/>
    <w:rsid w:val="00D56EEC"/>
    <w:rsid w:val="00D600A8"/>
    <w:rsid w:val="00D6056F"/>
    <w:rsid w:val="00D62492"/>
    <w:rsid w:val="00D640E8"/>
    <w:rsid w:val="00D65842"/>
    <w:rsid w:val="00D65880"/>
    <w:rsid w:val="00D71BE0"/>
    <w:rsid w:val="00D72377"/>
    <w:rsid w:val="00D72C74"/>
    <w:rsid w:val="00D72EFA"/>
    <w:rsid w:val="00D74E0D"/>
    <w:rsid w:val="00D75A74"/>
    <w:rsid w:val="00D76359"/>
    <w:rsid w:val="00D766D2"/>
    <w:rsid w:val="00D80A89"/>
    <w:rsid w:val="00D82C83"/>
    <w:rsid w:val="00D8565F"/>
    <w:rsid w:val="00D8574D"/>
    <w:rsid w:val="00D8578D"/>
    <w:rsid w:val="00D873F8"/>
    <w:rsid w:val="00D917F3"/>
    <w:rsid w:val="00D9194C"/>
    <w:rsid w:val="00D91C1E"/>
    <w:rsid w:val="00D91F84"/>
    <w:rsid w:val="00D9464E"/>
    <w:rsid w:val="00D97409"/>
    <w:rsid w:val="00DA00D9"/>
    <w:rsid w:val="00DA10D6"/>
    <w:rsid w:val="00DA13AA"/>
    <w:rsid w:val="00DA196E"/>
    <w:rsid w:val="00DA22B5"/>
    <w:rsid w:val="00DA37EE"/>
    <w:rsid w:val="00DA41CE"/>
    <w:rsid w:val="00DA4D86"/>
    <w:rsid w:val="00DA4F3F"/>
    <w:rsid w:val="00DA73B9"/>
    <w:rsid w:val="00DA74C0"/>
    <w:rsid w:val="00DA76DD"/>
    <w:rsid w:val="00DB0D77"/>
    <w:rsid w:val="00DB12C4"/>
    <w:rsid w:val="00DB1D03"/>
    <w:rsid w:val="00DB32B1"/>
    <w:rsid w:val="00DB6037"/>
    <w:rsid w:val="00DB6270"/>
    <w:rsid w:val="00DB6BC5"/>
    <w:rsid w:val="00DB736D"/>
    <w:rsid w:val="00DB7C4C"/>
    <w:rsid w:val="00DC129E"/>
    <w:rsid w:val="00DC2182"/>
    <w:rsid w:val="00DC2386"/>
    <w:rsid w:val="00DC23E1"/>
    <w:rsid w:val="00DC3135"/>
    <w:rsid w:val="00DC3488"/>
    <w:rsid w:val="00DC3C3D"/>
    <w:rsid w:val="00DC449E"/>
    <w:rsid w:val="00DC7319"/>
    <w:rsid w:val="00DD150C"/>
    <w:rsid w:val="00DD204A"/>
    <w:rsid w:val="00DD3935"/>
    <w:rsid w:val="00DD4FF2"/>
    <w:rsid w:val="00DD541B"/>
    <w:rsid w:val="00DD6F32"/>
    <w:rsid w:val="00DD700D"/>
    <w:rsid w:val="00DE176D"/>
    <w:rsid w:val="00DE5230"/>
    <w:rsid w:val="00DE5AAA"/>
    <w:rsid w:val="00DE5B16"/>
    <w:rsid w:val="00DE62B3"/>
    <w:rsid w:val="00DE77E2"/>
    <w:rsid w:val="00DE7917"/>
    <w:rsid w:val="00DF0287"/>
    <w:rsid w:val="00DF0C14"/>
    <w:rsid w:val="00DF0CD9"/>
    <w:rsid w:val="00DF41B1"/>
    <w:rsid w:val="00DF5650"/>
    <w:rsid w:val="00DF5A8D"/>
    <w:rsid w:val="00DF7794"/>
    <w:rsid w:val="00DF7F1E"/>
    <w:rsid w:val="00E023E5"/>
    <w:rsid w:val="00E04A02"/>
    <w:rsid w:val="00E05C0C"/>
    <w:rsid w:val="00E071B7"/>
    <w:rsid w:val="00E15787"/>
    <w:rsid w:val="00E17A27"/>
    <w:rsid w:val="00E2165A"/>
    <w:rsid w:val="00E2375E"/>
    <w:rsid w:val="00E23C16"/>
    <w:rsid w:val="00E24935"/>
    <w:rsid w:val="00E24D73"/>
    <w:rsid w:val="00E26674"/>
    <w:rsid w:val="00E26950"/>
    <w:rsid w:val="00E270C5"/>
    <w:rsid w:val="00E27C39"/>
    <w:rsid w:val="00E32EFA"/>
    <w:rsid w:val="00E33E9F"/>
    <w:rsid w:val="00E34100"/>
    <w:rsid w:val="00E346BD"/>
    <w:rsid w:val="00E40BE8"/>
    <w:rsid w:val="00E4145A"/>
    <w:rsid w:val="00E42D0D"/>
    <w:rsid w:val="00E43C14"/>
    <w:rsid w:val="00E44140"/>
    <w:rsid w:val="00E45205"/>
    <w:rsid w:val="00E46322"/>
    <w:rsid w:val="00E5130D"/>
    <w:rsid w:val="00E534CF"/>
    <w:rsid w:val="00E5444E"/>
    <w:rsid w:val="00E54568"/>
    <w:rsid w:val="00E55145"/>
    <w:rsid w:val="00E55DEA"/>
    <w:rsid w:val="00E55F76"/>
    <w:rsid w:val="00E578A6"/>
    <w:rsid w:val="00E62D0A"/>
    <w:rsid w:val="00E64215"/>
    <w:rsid w:val="00E65E4A"/>
    <w:rsid w:val="00E66F16"/>
    <w:rsid w:val="00E72B1B"/>
    <w:rsid w:val="00E72EA1"/>
    <w:rsid w:val="00E733AC"/>
    <w:rsid w:val="00E73BDE"/>
    <w:rsid w:val="00E7525A"/>
    <w:rsid w:val="00E76746"/>
    <w:rsid w:val="00E778B2"/>
    <w:rsid w:val="00E80253"/>
    <w:rsid w:val="00E81569"/>
    <w:rsid w:val="00E8173E"/>
    <w:rsid w:val="00E82765"/>
    <w:rsid w:val="00E83CD2"/>
    <w:rsid w:val="00E84D0F"/>
    <w:rsid w:val="00E85BCE"/>
    <w:rsid w:val="00E87C18"/>
    <w:rsid w:val="00E87FB3"/>
    <w:rsid w:val="00E90E43"/>
    <w:rsid w:val="00E91E7A"/>
    <w:rsid w:val="00E91F8C"/>
    <w:rsid w:val="00E951BA"/>
    <w:rsid w:val="00E95672"/>
    <w:rsid w:val="00E965EA"/>
    <w:rsid w:val="00E96821"/>
    <w:rsid w:val="00E97A1E"/>
    <w:rsid w:val="00EA1408"/>
    <w:rsid w:val="00EA1409"/>
    <w:rsid w:val="00EA2569"/>
    <w:rsid w:val="00EA28FF"/>
    <w:rsid w:val="00EA2C76"/>
    <w:rsid w:val="00EA4374"/>
    <w:rsid w:val="00EA6F71"/>
    <w:rsid w:val="00EA7227"/>
    <w:rsid w:val="00EA77CA"/>
    <w:rsid w:val="00EB0AE0"/>
    <w:rsid w:val="00EB2683"/>
    <w:rsid w:val="00EB355D"/>
    <w:rsid w:val="00EB4F1B"/>
    <w:rsid w:val="00EB63C9"/>
    <w:rsid w:val="00EB7C7E"/>
    <w:rsid w:val="00EC03BC"/>
    <w:rsid w:val="00EC155C"/>
    <w:rsid w:val="00EC1CC9"/>
    <w:rsid w:val="00EC20FA"/>
    <w:rsid w:val="00EC2A2E"/>
    <w:rsid w:val="00EC38C5"/>
    <w:rsid w:val="00EC412A"/>
    <w:rsid w:val="00EC4748"/>
    <w:rsid w:val="00EC4906"/>
    <w:rsid w:val="00EC63D7"/>
    <w:rsid w:val="00EC73C8"/>
    <w:rsid w:val="00EC7C25"/>
    <w:rsid w:val="00ED0532"/>
    <w:rsid w:val="00ED1F9D"/>
    <w:rsid w:val="00ED23B8"/>
    <w:rsid w:val="00ED270C"/>
    <w:rsid w:val="00ED28D1"/>
    <w:rsid w:val="00ED5B6B"/>
    <w:rsid w:val="00ED634F"/>
    <w:rsid w:val="00ED67E1"/>
    <w:rsid w:val="00EE0324"/>
    <w:rsid w:val="00EE0AC9"/>
    <w:rsid w:val="00EE10BB"/>
    <w:rsid w:val="00EE1D9E"/>
    <w:rsid w:val="00EE221A"/>
    <w:rsid w:val="00EE24EF"/>
    <w:rsid w:val="00EE6A7E"/>
    <w:rsid w:val="00EE6FA5"/>
    <w:rsid w:val="00EE73F9"/>
    <w:rsid w:val="00EF02A7"/>
    <w:rsid w:val="00EF24F9"/>
    <w:rsid w:val="00EF5627"/>
    <w:rsid w:val="00EF7702"/>
    <w:rsid w:val="00F012D8"/>
    <w:rsid w:val="00F02861"/>
    <w:rsid w:val="00F03D8F"/>
    <w:rsid w:val="00F0430D"/>
    <w:rsid w:val="00F0715D"/>
    <w:rsid w:val="00F0755D"/>
    <w:rsid w:val="00F103E8"/>
    <w:rsid w:val="00F10DF5"/>
    <w:rsid w:val="00F11566"/>
    <w:rsid w:val="00F125BF"/>
    <w:rsid w:val="00F12FA1"/>
    <w:rsid w:val="00F13B6B"/>
    <w:rsid w:val="00F16783"/>
    <w:rsid w:val="00F17B84"/>
    <w:rsid w:val="00F17BE6"/>
    <w:rsid w:val="00F235B9"/>
    <w:rsid w:val="00F23AF1"/>
    <w:rsid w:val="00F26572"/>
    <w:rsid w:val="00F27A59"/>
    <w:rsid w:val="00F314EE"/>
    <w:rsid w:val="00F31FD7"/>
    <w:rsid w:val="00F336E1"/>
    <w:rsid w:val="00F3430E"/>
    <w:rsid w:val="00F34312"/>
    <w:rsid w:val="00F3474D"/>
    <w:rsid w:val="00F37DD1"/>
    <w:rsid w:val="00F40002"/>
    <w:rsid w:val="00F404CD"/>
    <w:rsid w:val="00F406B1"/>
    <w:rsid w:val="00F40B35"/>
    <w:rsid w:val="00F40D05"/>
    <w:rsid w:val="00F41EDE"/>
    <w:rsid w:val="00F44EC9"/>
    <w:rsid w:val="00F4512A"/>
    <w:rsid w:val="00F46948"/>
    <w:rsid w:val="00F4758E"/>
    <w:rsid w:val="00F513FB"/>
    <w:rsid w:val="00F515F0"/>
    <w:rsid w:val="00F51D81"/>
    <w:rsid w:val="00F531CF"/>
    <w:rsid w:val="00F53384"/>
    <w:rsid w:val="00F55A3A"/>
    <w:rsid w:val="00F562DD"/>
    <w:rsid w:val="00F566C1"/>
    <w:rsid w:val="00F57523"/>
    <w:rsid w:val="00F608D0"/>
    <w:rsid w:val="00F60A73"/>
    <w:rsid w:val="00F63FDE"/>
    <w:rsid w:val="00F64620"/>
    <w:rsid w:val="00F647B4"/>
    <w:rsid w:val="00F64F09"/>
    <w:rsid w:val="00F65F48"/>
    <w:rsid w:val="00F67801"/>
    <w:rsid w:val="00F679F5"/>
    <w:rsid w:val="00F706F2"/>
    <w:rsid w:val="00F70CBE"/>
    <w:rsid w:val="00F729B6"/>
    <w:rsid w:val="00F72D02"/>
    <w:rsid w:val="00F75AC4"/>
    <w:rsid w:val="00F766D3"/>
    <w:rsid w:val="00F76F23"/>
    <w:rsid w:val="00F770F0"/>
    <w:rsid w:val="00F810D9"/>
    <w:rsid w:val="00F81503"/>
    <w:rsid w:val="00F833FE"/>
    <w:rsid w:val="00F85351"/>
    <w:rsid w:val="00F86BB9"/>
    <w:rsid w:val="00F86C5B"/>
    <w:rsid w:val="00F91B94"/>
    <w:rsid w:val="00F92978"/>
    <w:rsid w:val="00F93334"/>
    <w:rsid w:val="00F964D5"/>
    <w:rsid w:val="00F9766E"/>
    <w:rsid w:val="00FA1340"/>
    <w:rsid w:val="00FA3606"/>
    <w:rsid w:val="00FA3709"/>
    <w:rsid w:val="00FA3A12"/>
    <w:rsid w:val="00FA436E"/>
    <w:rsid w:val="00FA70FF"/>
    <w:rsid w:val="00FA7BD5"/>
    <w:rsid w:val="00FB1BBE"/>
    <w:rsid w:val="00FB3A49"/>
    <w:rsid w:val="00FB4859"/>
    <w:rsid w:val="00FC009D"/>
    <w:rsid w:val="00FC0572"/>
    <w:rsid w:val="00FC189C"/>
    <w:rsid w:val="00FC1D53"/>
    <w:rsid w:val="00FD0DC8"/>
    <w:rsid w:val="00FD23AB"/>
    <w:rsid w:val="00FD34C2"/>
    <w:rsid w:val="00FD3AE3"/>
    <w:rsid w:val="00FD743D"/>
    <w:rsid w:val="00FD7905"/>
    <w:rsid w:val="00FE5FE9"/>
    <w:rsid w:val="00FE6A0E"/>
    <w:rsid w:val="00FE7200"/>
    <w:rsid w:val="00FF02A4"/>
    <w:rsid w:val="00FF06A1"/>
    <w:rsid w:val="00FF16FF"/>
    <w:rsid w:val="00FF2D8F"/>
    <w:rsid w:val="00FF31AE"/>
    <w:rsid w:val="00FF3598"/>
    <w:rsid w:val="00FF3EB8"/>
    <w:rsid w:val="00FF42EA"/>
    <w:rsid w:val="00FF4696"/>
    <w:rsid w:val="00FF4CA8"/>
    <w:rsid w:val="00FF4D37"/>
    <w:rsid w:val="00FF6EC4"/>
    <w:rsid w:val="00FF7310"/>
    <w:rsid w:val="00FF73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1C781B65-AB4F-4D27-A6D3-D3814411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título 1,H1,h1,h11,h12,h13,h14,h15,h16,h17,h111,h121,h131,h141,h151,h161,h18,h112,h122,h132,h142,h152,h162,h19,h113,h123,h133,h143,h153,h163,1,l1,II+,I,Section Head,Chapter Heading,h:1,h:1app,app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Sub-section,H2,h2,h21,Heading Two,R2,l2,UNDERRUBRIK 1-2,Head 2,List level 2,Sub-Heading,A,1st level heading,level 2 no toc,2nd level,Titre2,h:2,h:2app,2,level 2,Head2A,PA Major Section,Major Section,Head2,Header 2,Level 2 Head,T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título 1 Char,H1 Char,h1 Char,h11 Char,h12 Char,h13 Char,h14 Char,h15 Char,h16 Char,h17 Char,h111 Char,h121 Char,h131 Char,h141 Char,h151 Char,h161 Char,h18 Char,h112 Char,h122 Char,h132 Char,h142 Char,h152 Char,1 Char"/>
    <w:basedOn w:val="DefaultParagraphFont"/>
    <w:link w:val="Heading1"/>
    <w:qFormat/>
    <w:rsid w:val="00696704"/>
    <w:rPr>
      <w:b/>
      <w:sz w:val="28"/>
      <w:lang w:val="en-GB"/>
    </w:rPr>
  </w:style>
  <w:style w:type="character" w:customStyle="1" w:styleId="Heading2Char">
    <w:name w:val="Heading 2 Char"/>
    <w:aliases w:val="ECC Heading 2 Char,Sub-section Char,H2 Char,h2 Char,h21 Char,Heading Two Char,R2 Char,l2 Char,UNDERRUBRIK 1-2 Char,Head 2 Char,List level 2 Char,Sub-Heading Char,A Char,1st level heading Char,level 2 no toc Char,2nd level Char,Titre2 Char"/>
    <w:basedOn w:val="DefaultParagraphFont"/>
    <w:link w:val="Heading2"/>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link w:val="EquationlegendChar"/>
    <w:qForma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DNV-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qFormat/>
    <w:rsid w:val="00696704"/>
    <w:pPr>
      <w:keepNext/>
      <w:spacing w:before="560" w:after="120"/>
      <w:jc w:val="center"/>
    </w:pPr>
    <w:rPr>
      <w:caps/>
      <w:sz w:val="20"/>
    </w:rPr>
  </w:style>
  <w:style w:type="paragraph" w:customStyle="1" w:styleId="Tabletitle">
    <w:name w:val="Table_title"/>
    <w:basedOn w:val="Normal"/>
    <w:next w:val="Tabletext"/>
    <w:link w:val="TabletitleChar"/>
    <w:qFormat/>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qFormat/>
    <w:rsid w:val="00696704"/>
    <w:pPr>
      <w:spacing w:after="480"/>
    </w:pPr>
  </w:style>
  <w:style w:type="paragraph" w:customStyle="1" w:styleId="FigureNo">
    <w:name w:val="Figure_No"/>
    <w:basedOn w:val="Normal"/>
    <w:next w:val="Figuretitle"/>
    <w:link w:val="FigureNoChar"/>
    <w:qFormat/>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qFormat/>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qFormat/>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qFormat/>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link w:val="ListParagraphChar"/>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qFormat/>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aliases w:val="eq"/>
    <w:basedOn w:val="Normal"/>
    <w:link w:val="EquationChar"/>
    <w:qFormat/>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qFormat/>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0F4F73"/>
    <w:rPr>
      <w:color w:val="605E5C"/>
      <w:shd w:val="clear" w:color="auto" w:fill="E1DFDD"/>
    </w:rPr>
  </w:style>
  <w:style w:type="table" w:customStyle="1" w:styleId="TableGrid2">
    <w:name w:val="Table Grid2"/>
    <w:basedOn w:val="TableNormal"/>
    <w:next w:val="TableGrid"/>
    <w:rsid w:val="004D78DC"/>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Normal"/>
    <w:rsid w:val="007B23C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FigureNoChar1">
    <w:name w:val="Figure_No Char1"/>
    <w:rsid w:val="00371756"/>
    <w:rPr>
      <w:rFonts w:ascii="Times New Roman" w:hAnsi="Times New Roman"/>
      <w:caps/>
      <w:lang w:val="en-GB" w:eastAsia="en-US"/>
    </w:rPr>
  </w:style>
  <w:style w:type="character" w:customStyle="1" w:styleId="ListParagraphChar">
    <w:name w:val="List Paragraph Char"/>
    <w:link w:val="ListParagraph"/>
    <w:uiPriority w:val="34"/>
    <w:locked/>
    <w:rsid w:val="00371756"/>
    <w:rPr>
      <w:sz w:val="24"/>
      <w:lang w:val="en-GB"/>
    </w:rPr>
  </w:style>
  <w:style w:type="table" w:customStyle="1" w:styleId="Grilledutableau231">
    <w:name w:val="Grille du tableau231"/>
    <w:basedOn w:val="TableNormal"/>
    <w:next w:val="TableGrid"/>
    <w:rsid w:val="00371756"/>
    <w:rPr>
      <w:rFonts w:ascii="CG Times" w:eastAsiaTheme="minorEastAsia"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0">
    <w:name w:val="Table_No Знак"/>
    <w:qFormat/>
    <w:locked/>
    <w:rsid w:val="002A26BB"/>
    <w:rPr>
      <w:rFonts w:ascii="Times New Roman" w:hAnsi="Times New Roman"/>
      <w:caps/>
      <w:lang w:val="en-GB" w:eastAsia="en-US"/>
    </w:rPr>
  </w:style>
  <w:style w:type="character" w:customStyle="1" w:styleId="EquationChar">
    <w:name w:val="Equation Char"/>
    <w:basedOn w:val="DefaultParagraphFont"/>
    <w:link w:val="Equation"/>
    <w:qFormat/>
    <w:locked/>
    <w:rsid w:val="008830C4"/>
    <w:rPr>
      <w:sz w:val="24"/>
      <w:lang w:val="en-GB"/>
    </w:rPr>
  </w:style>
  <w:style w:type="character" w:customStyle="1" w:styleId="EquationlegendChar">
    <w:name w:val="Equation_legend Char"/>
    <w:link w:val="Equationlegend"/>
    <w:qFormat/>
    <w:locked/>
    <w:rsid w:val="008830C4"/>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3334">
      <w:bodyDiv w:val="1"/>
      <w:marLeft w:val="0"/>
      <w:marRight w:val="0"/>
      <w:marTop w:val="0"/>
      <w:marBottom w:val="0"/>
      <w:divBdr>
        <w:top w:val="none" w:sz="0" w:space="0" w:color="auto"/>
        <w:left w:val="none" w:sz="0" w:space="0" w:color="auto"/>
        <w:bottom w:val="none" w:sz="0" w:space="0" w:color="auto"/>
        <w:right w:val="none" w:sz="0" w:space="0" w:color="auto"/>
      </w:divBdr>
    </w:div>
    <w:div w:id="101456472">
      <w:bodyDiv w:val="1"/>
      <w:marLeft w:val="0"/>
      <w:marRight w:val="0"/>
      <w:marTop w:val="0"/>
      <w:marBottom w:val="0"/>
      <w:divBdr>
        <w:top w:val="none" w:sz="0" w:space="0" w:color="auto"/>
        <w:left w:val="none" w:sz="0" w:space="0" w:color="auto"/>
        <w:bottom w:val="none" w:sz="0" w:space="0" w:color="auto"/>
        <w:right w:val="none" w:sz="0" w:space="0" w:color="auto"/>
      </w:divBdr>
      <w:divsChild>
        <w:div w:id="1989283107">
          <w:marLeft w:val="0"/>
          <w:marRight w:val="0"/>
          <w:marTop w:val="0"/>
          <w:marBottom w:val="0"/>
          <w:divBdr>
            <w:top w:val="none" w:sz="0" w:space="0" w:color="auto"/>
            <w:left w:val="none" w:sz="0" w:space="0" w:color="auto"/>
            <w:bottom w:val="none" w:sz="0" w:space="0" w:color="auto"/>
            <w:right w:val="none" w:sz="0" w:space="0" w:color="auto"/>
          </w:divBdr>
          <w:divsChild>
            <w:div w:id="17405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769">
      <w:bodyDiv w:val="1"/>
      <w:marLeft w:val="0"/>
      <w:marRight w:val="0"/>
      <w:marTop w:val="0"/>
      <w:marBottom w:val="0"/>
      <w:divBdr>
        <w:top w:val="none" w:sz="0" w:space="0" w:color="auto"/>
        <w:left w:val="none" w:sz="0" w:space="0" w:color="auto"/>
        <w:bottom w:val="none" w:sz="0" w:space="0" w:color="auto"/>
        <w:right w:val="none" w:sz="0" w:space="0" w:color="auto"/>
      </w:divBdr>
    </w:div>
    <w:div w:id="132915861">
      <w:bodyDiv w:val="1"/>
      <w:marLeft w:val="0"/>
      <w:marRight w:val="0"/>
      <w:marTop w:val="0"/>
      <w:marBottom w:val="0"/>
      <w:divBdr>
        <w:top w:val="none" w:sz="0" w:space="0" w:color="auto"/>
        <w:left w:val="none" w:sz="0" w:space="0" w:color="auto"/>
        <w:bottom w:val="none" w:sz="0" w:space="0" w:color="auto"/>
        <w:right w:val="none" w:sz="0" w:space="0" w:color="auto"/>
      </w:divBdr>
    </w:div>
    <w:div w:id="195241025">
      <w:bodyDiv w:val="1"/>
      <w:marLeft w:val="0"/>
      <w:marRight w:val="0"/>
      <w:marTop w:val="0"/>
      <w:marBottom w:val="0"/>
      <w:divBdr>
        <w:top w:val="none" w:sz="0" w:space="0" w:color="auto"/>
        <w:left w:val="none" w:sz="0" w:space="0" w:color="auto"/>
        <w:bottom w:val="none" w:sz="0" w:space="0" w:color="auto"/>
        <w:right w:val="none" w:sz="0" w:space="0" w:color="auto"/>
      </w:divBdr>
    </w:div>
    <w:div w:id="384522327">
      <w:bodyDiv w:val="1"/>
      <w:marLeft w:val="0"/>
      <w:marRight w:val="0"/>
      <w:marTop w:val="0"/>
      <w:marBottom w:val="0"/>
      <w:divBdr>
        <w:top w:val="none" w:sz="0" w:space="0" w:color="auto"/>
        <w:left w:val="none" w:sz="0" w:space="0" w:color="auto"/>
        <w:bottom w:val="none" w:sz="0" w:space="0" w:color="auto"/>
        <w:right w:val="none" w:sz="0" w:space="0" w:color="auto"/>
      </w:divBdr>
    </w:div>
    <w:div w:id="482551156">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635187325">
      <w:bodyDiv w:val="1"/>
      <w:marLeft w:val="0"/>
      <w:marRight w:val="0"/>
      <w:marTop w:val="0"/>
      <w:marBottom w:val="0"/>
      <w:divBdr>
        <w:top w:val="none" w:sz="0" w:space="0" w:color="auto"/>
        <w:left w:val="none" w:sz="0" w:space="0" w:color="auto"/>
        <w:bottom w:val="none" w:sz="0" w:space="0" w:color="auto"/>
        <w:right w:val="none" w:sz="0" w:space="0" w:color="auto"/>
      </w:divBdr>
      <w:divsChild>
        <w:div w:id="2052534229">
          <w:marLeft w:val="0"/>
          <w:marRight w:val="0"/>
          <w:marTop w:val="0"/>
          <w:marBottom w:val="0"/>
          <w:divBdr>
            <w:top w:val="none" w:sz="0" w:space="0" w:color="auto"/>
            <w:left w:val="none" w:sz="0" w:space="0" w:color="auto"/>
            <w:bottom w:val="none" w:sz="0" w:space="0" w:color="auto"/>
            <w:right w:val="none" w:sz="0" w:space="0" w:color="auto"/>
          </w:divBdr>
          <w:divsChild>
            <w:div w:id="12554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4576">
      <w:bodyDiv w:val="1"/>
      <w:marLeft w:val="0"/>
      <w:marRight w:val="0"/>
      <w:marTop w:val="0"/>
      <w:marBottom w:val="0"/>
      <w:divBdr>
        <w:top w:val="none" w:sz="0" w:space="0" w:color="auto"/>
        <w:left w:val="none" w:sz="0" w:space="0" w:color="auto"/>
        <w:bottom w:val="none" w:sz="0" w:space="0" w:color="auto"/>
        <w:right w:val="none" w:sz="0" w:space="0" w:color="auto"/>
      </w:divBdr>
    </w:div>
    <w:div w:id="848636084">
      <w:bodyDiv w:val="1"/>
      <w:marLeft w:val="0"/>
      <w:marRight w:val="0"/>
      <w:marTop w:val="0"/>
      <w:marBottom w:val="0"/>
      <w:divBdr>
        <w:top w:val="none" w:sz="0" w:space="0" w:color="auto"/>
        <w:left w:val="none" w:sz="0" w:space="0" w:color="auto"/>
        <w:bottom w:val="none" w:sz="0" w:space="0" w:color="auto"/>
        <w:right w:val="none" w:sz="0" w:space="0" w:color="auto"/>
      </w:divBdr>
    </w:div>
    <w:div w:id="951863183">
      <w:bodyDiv w:val="1"/>
      <w:marLeft w:val="0"/>
      <w:marRight w:val="0"/>
      <w:marTop w:val="0"/>
      <w:marBottom w:val="0"/>
      <w:divBdr>
        <w:top w:val="none" w:sz="0" w:space="0" w:color="auto"/>
        <w:left w:val="none" w:sz="0" w:space="0" w:color="auto"/>
        <w:bottom w:val="none" w:sz="0" w:space="0" w:color="auto"/>
        <w:right w:val="none" w:sz="0" w:space="0" w:color="auto"/>
      </w:divBdr>
    </w:div>
    <w:div w:id="967126735">
      <w:bodyDiv w:val="1"/>
      <w:marLeft w:val="0"/>
      <w:marRight w:val="0"/>
      <w:marTop w:val="0"/>
      <w:marBottom w:val="0"/>
      <w:divBdr>
        <w:top w:val="none" w:sz="0" w:space="0" w:color="auto"/>
        <w:left w:val="none" w:sz="0" w:space="0" w:color="auto"/>
        <w:bottom w:val="none" w:sz="0" w:space="0" w:color="auto"/>
        <w:right w:val="none" w:sz="0" w:space="0" w:color="auto"/>
      </w:divBdr>
    </w:div>
    <w:div w:id="1085804673">
      <w:bodyDiv w:val="1"/>
      <w:marLeft w:val="0"/>
      <w:marRight w:val="0"/>
      <w:marTop w:val="0"/>
      <w:marBottom w:val="0"/>
      <w:divBdr>
        <w:top w:val="none" w:sz="0" w:space="0" w:color="auto"/>
        <w:left w:val="none" w:sz="0" w:space="0" w:color="auto"/>
        <w:bottom w:val="none" w:sz="0" w:space="0" w:color="auto"/>
        <w:right w:val="none" w:sz="0" w:space="0" w:color="auto"/>
      </w:divBdr>
    </w:div>
    <w:div w:id="1213929812">
      <w:bodyDiv w:val="1"/>
      <w:marLeft w:val="0"/>
      <w:marRight w:val="0"/>
      <w:marTop w:val="0"/>
      <w:marBottom w:val="0"/>
      <w:divBdr>
        <w:top w:val="none" w:sz="0" w:space="0" w:color="auto"/>
        <w:left w:val="none" w:sz="0" w:space="0" w:color="auto"/>
        <w:bottom w:val="none" w:sz="0" w:space="0" w:color="auto"/>
        <w:right w:val="none" w:sz="0" w:space="0" w:color="auto"/>
      </w:divBdr>
      <w:divsChild>
        <w:div w:id="1826050639">
          <w:marLeft w:val="0"/>
          <w:marRight w:val="0"/>
          <w:marTop w:val="0"/>
          <w:marBottom w:val="0"/>
          <w:divBdr>
            <w:top w:val="none" w:sz="0" w:space="0" w:color="auto"/>
            <w:left w:val="none" w:sz="0" w:space="0" w:color="auto"/>
            <w:bottom w:val="none" w:sz="0" w:space="0" w:color="auto"/>
            <w:right w:val="none" w:sz="0" w:space="0" w:color="auto"/>
          </w:divBdr>
          <w:divsChild>
            <w:div w:id="1999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54138">
      <w:bodyDiv w:val="1"/>
      <w:marLeft w:val="0"/>
      <w:marRight w:val="0"/>
      <w:marTop w:val="0"/>
      <w:marBottom w:val="0"/>
      <w:divBdr>
        <w:top w:val="none" w:sz="0" w:space="0" w:color="auto"/>
        <w:left w:val="none" w:sz="0" w:space="0" w:color="auto"/>
        <w:bottom w:val="none" w:sz="0" w:space="0" w:color="auto"/>
        <w:right w:val="none" w:sz="0" w:space="0" w:color="auto"/>
      </w:divBdr>
    </w:div>
    <w:div w:id="1366129218">
      <w:bodyDiv w:val="1"/>
      <w:marLeft w:val="0"/>
      <w:marRight w:val="0"/>
      <w:marTop w:val="0"/>
      <w:marBottom w:val="0"/>
      <w:divBdr>
        <w:top w:val="none" w:sz="0" w:space="0" w:color="auto"/>
        <w:left w:val="none" w:sz="0" w:space="0" w:color="auto"/>
        <w:bottom w:val="none" w:sz="0" w:space="0" w:color="auto"/>
        <w:right w:val="none" w:sz="0" w:space="0" w:color="auto"/>
      </w:divBdr>
    </w:div>
    <w:div w:id="1634867931">
      <w:bodyDiv w:val="1"/>
      <w:marLeft w:val="0"/>
      <w:marRight w:val="0"/>
      <w:marTop w:val="0"/>
      <w:marBottom w:val="0"/>
      <w:divBdr>
        <w:top w:val="none" w:sz="0" w:space="0" w:color="auto"/>
        <w:left w:val="none" w:sz="0" w:space="0" w:color="auto"/>
        <w:bottom w:val="none" w:sz="0" w:space="0" w:color="auto"/>
        <w:right w:val="none" w:sz="0" w:space="0" w:color="auto"/>
      </w:divBdr>
      <w:divsChild>
        <w:div w:id="192302445">
          <w:marLeft w:val="0"/>
          <w:marRight w:val="0"/>
          <w:marTop w:val="0"/>
          <w:marBottom w:val="0"/>
          <w:divBdr>
            <w:top w:val="none" w:sz="0" w:space="0" w:color="auto"/>
            <w:left w:val="none" w:sz="0" w:space="0" w:color="auto"/>
            <w:bottom w:val="none" w:sz="0" w:space="0" w:color="auto"/>
            <w:right w:val="none" w:sz="0" w:space="0" w:color="auto"/>
          </w:divBdr>
          <w:divsChild>
            <w:div w:id="799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29451">
      <w:bodyDiv w:val="1"/>
      <w:marLeft w:val="0"/>
      <w:marRight w:val="0"/>
      <w:marTop w:val="0"/>
      <w:marBottom w:val="0"/>
      <w:divBdr>
        <w:top w:val="none" w:sz="0" w:space="0" w:color="auto"/>
        <w:left w:val="none" w:sz="0" w:space="0" w:color="auto"/>
        <w:bottom w:val="none" w:sz="0" w:space="0" w:color="auto"/>
        <w:right w:val="none" w:sz="0" w:space="0" w:color="auto"/>
      </w:divBdr>
    </w:div>
    <w:div w:id="1916889022">
      <w:bodyDiv w:val="1"/>
      <w:marLeft w:val="0"/>
      <w:marRight w:val="0"/>
      <w:marTop w:val="0"/>
      <w:marBottom w:val="0"/>
      <w:divBdr>
        <w:top w:val="none" w:sz="0" w:space="0" w:color="auto"/>
        <w:left w:val="none" w:sz="0" w:space="0" w:color="auto"/>
        <w:bottom w:val="none" w:sz="0" w:space="0" w:color="auto"/>
        <w:right w:val="none" w:sz="0" w:space="0" w:color="auto"/>
      </w:divBdr>
    </w:div>
    <w:div w:id="1943682965">
      <w:bodyDiv w:val="1"/>
      <w:marLeft w:val="0"/>
      <w:marRight w:val="0"/>
      <w:marTop w:val="0"/>
      <w:marBottom w:val="0"/>
      <w:divBdr>
        <w:top w:val="none" w:sz="0" w:space="0" w:color="auto"/>
        <w:left w:val="none" w:sz="0" w:space="0" w:color="auto"/>
        <w:bottom w:val="none" w:sz="0" w:space="0" w:color="auto"/>
        <w:right w:val="none" w:sz="0" w:space="0" w:color="auto"/>
      </w:divBdr>
    </w:div>
    <w:div w:id="19907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5D-C-0792/en"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itu.int/md/R23-WP5D-C-0792/en" TargetMode="External"/><Relationship Id="rId17" Type="http://schemas.openxmlformats.org/officeDocument/2006/relationships/hyperlink" Target="https://www.itu.int/dms_pubrec/itu-r/rec/p/R-REC-P.2109-2-202308-I!!PDF-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u.int/rec/R-REC-P.2108/en"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itu.int/rec/R-REC-P.2001/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23-WP5D-C-0129/en"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8" ma:contentTypeDescription="Create a new document." ma:contentTypeScope="" ma:versionID="04af5b027179ea4de0712537c8936f19">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7db59310c9226e8253a70324ef2a07bf"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Spec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pecNumber" ma:index="24" nillable="true" ma:displayName="Spec Number" ma:format="Dropdown" ma:internalName="SpecNumber">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7a776c-8872-4f88-b3be-07b484cb982b">
      <Terms xmlns="http://schemas.microsoft.com/office/infopath/2007/PartnerControls"/>
    </lcf76f155ced4ddcb4097134ff3c332f>
    <TaxCatchAll xmlns="cd6f4b3e-6665-4cf4-b080-7abf16275423" xsi:nil="true"/>
    <SpecNumber xmlns="c77a776c-8872-4f88-b3be-07b484cb98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4AD54-9D28-4C26-8FCA-9AA18DE32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1812</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Update WD</cp:keywords>
  <cp:lastModifiedBy>US5D</cp:lastModifiedBy>
  <cp:revision>4</cp:revision>
  <dcterms:created xsi:type="dcterms:W3CDTF">2025-07-13T11:31:00Z</dcterms:created>
  <dcterms:modified xsi:type="dcterms:W3CDTF">2025-07-17T19:39:00Z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0x010100A356BA11C06EAB49B4836D790ECE27DB</vt:lpwstr>
  </property>
  <property fmtid="{D5CDD505-2E9C-101B-9397-08002B2CF9AE}" pid="3" name="TitusGUID">
    <vt:lpwstr>7a265184-0b03-4bdc-820f-908db35d87f5</vt:lpwstr>
  </property>
  <property fmtid="{D5CDD505-2E9C-101B-9397-08002B2CF9AE}" pid="4" name="ContainsCUI">
    <vt:lpwstr>No</vt:lpwstr>
  </property>
  <property fmtid="{D5CDD505-2E9C-101B-9397-08002B2CF9AE}" pid="5" name="MSIP_Label_e3a1bc8a-c77f-42fc-94c5-4575f811706d_Enabled">
    <vt:lpwstr>true</vt:lpwstr>
  </property>
  <property fmtid="{D5CDD505-2E9C-101B-9397-08002B2CF9AE}" pid="6" name="MSIP_Label_e3a1bc8a-c77f-42fc-94c5-4575f811706d_SetDate">
    <vt:lpwstr>2024-11-04T01:42:30Z</vt:lpwstr>
  </property>
  <property fmtid="{D5CDD505-2E9C-101B-9397-08002B2CF9AE}" pid="7" name="MSIP_Label_e3a1bc8a-c77f-42fc-94c5-4575f811706d_Method">
    <vt:lpwstr>Standard</vt:lpwstr>
  </property>
  <property fmtid="{D5CDD505-2E9C-101B-9397-08002B2CF9AE}" pid="8" name="MSIP_Label_e3a1bc8a-c77f-42fc-94c5-4575f811706d_Name">
    <vt:lpwstr>e3a1bc8a-c77f-42fc-94c5-4575f811706d</vt:lpwstr>
  </property>
  <property fmtid="{D5CDD505-2E9C-101B-9397-08002B2CF9AE}" pid="9" name="MSIP_Label_e3a1bc8a-c77f-42fc-94c5-4575f811706d_SiteId">
    <vt:lpwstr>fb7083da-754c-45a4-8b6b-a05941a3a3e9</vt:lpwstr>
  </property>
  <property fmtid="{D5CDD505-2E9C-101B-9397-08002B2CF9AE}" pid="10" name="MSIP_Label_e3a1bc8a-c77f-42fc-94c5-4575f811706d_ActionId">
    <vt:lpwstr>0bd1dd7b-4131-4d3d-abc0-0824cc8b84c2</vt:lpwstr>
  </property>
  <property fmtid="{D5CDD505-2E9C-101B-9397-08002B2CF9AE}" pid="11" name="MSIP_Label_e3a1bc8a-c77f-42fc-94c5-4575f811706d_ContentBits">
    <vt:lpwstr>0</vt:lpwstr>
  </property>
  <property fmtid="{D5CDD505-2E9C-101B-9397-08002B2CF9AE}" pid="12" name="MediaServiceImageTags">
    <vt:lpwstr/>
  </property>
</Properties>
</file>