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4E28FB29" w:rsidR="000D6DA7" w:rsidRPr="00F0755D" w:rsidRDefault="000D6DA7" w:rsidP="002B3DCA">
            <w:pPr>
              <w:spacing w:after="120"/>
              <w:ind w:left="144" w:right="144"/>
              <w:rPr>
                <w:lang w:val="pt-BR"/>
              </w:rPr>
            </w:pPr>
            <w:r w:rsidRPr="00F0755D">
              <w:rPr>
                <w:b/>
                <w:lang w:val="pt-BR"/>
              </w:rPr>
              <w:t>Document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w:t>
            </w:r>
            <w:r w:rsidR="004727A6">
              <w:rPr>
                <w:lang w:val="pt-BR"/>
              </w:rPr>
              <w:t>35-22</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210DC764"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50177E">
              <w:t>8</w:t>
            </w:r>
            <w:r w:rsidR="00410CE0">
              <w:t>/</w:t>
            </w:r>
            <w:r w:rsidR="0050177E">
              <w:t>11</w:t>
            </w:r>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52B68A0E" w:rsidR="000D6DA7" w:rsidRPr="00192FA7" w:rsidRDefault="000D6DA7" w:rsidP="0083037A">
            <w:pPr>
              <w:pStyle w:val="BodyTextIndent"/>
              <w:ind w:left="187"/>
              <w:rPr>
                <w:bCs/>
              </w:rPr>
            </w:pPr>
            <w:r w:rsidRPr="00192FA7">
              <w:rPr>
                <w:b/>
                <w:bCs/>
              </w:rPr>
              <w:t>Document Title:</w:t>
            </w:r>
            <w:r w:rsidR="00E81F3E">
              <w:rPr>
                <w:bCs/>
              </w:rPr>
              <w:t xml:space="preserve"> </w:t>
            </w:r>
            <w:r w:rsidR="00E81F3E" w:rsidRPr="00E81F3E">
              <w:rPr>
                <w:bCs/>
                <w:szCs w:val="24"/>
                <w:lang w:eastAsia="zh-CN"/>
              </w:rPr>
              <w:t xml:space="preserve">Additional technical information for sharing studies </w:t>
            </w:r>
            <w:r w:rsidR="00E81F3E" w:rsidRPr="00E81F3E">
              <w:rPr>
                <w:bCs/>
                <w:szCs w:val="24"/>
                <w:lang w:eastAsia="zh-CN"/>
              </w:rPr>
              <w:br/>
              <w:t>under WRC-27 agenda item 1.7</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7BC62B87" w:rsidR="0058660A" w:rsidRPr="00192FA7" w:rsidRDefault="0050177E" w:rsidP="0058660A">
            <w:pPr>
              <w:spacing w:before="0"/>
              <w:ind w:left="144" w:right="144"/>
              <w:rPr>
                <w:bCs/>
                <w:iCs/>
              </w:rPr>
            </w:pPr>
            <w:r>
              <w:rPr>
                <w:bCs/>
                <w:iCs/>
              </w:rPr>
              <w:t>Nicholas Shrout</w:t>
            </w:r>
          </w:p>
          <w:p w14:paraId="46D0DD62" w14:textId="7B771912" w:rsidR="000F4F73" w:rsidRPr="00192FA7" w:rsidRDefault="0050177E" w:rsidP="0058660A">
            <w:pPr>
              <w:spacing w:before="0"/>
              <w:ind w:left="144" w:right="144"/>
              <w:rPr>
                <w:bCs/>
                <w:iCs/>
              </w:rPr>
            </w:pPr>
            <w:r>
              <w:rPr>
                <w:bCs/>
                <w:iCs/>
              </w:rPr>
              <w:t>ASRI</w:t>
            </w:r>
          </w:p>
          <w:p w14:paraId="4DF2E4B3" w14:textId="77777777" w:rsidR="0058660A" w:rsidRPr="00192FA7" w:rsidRDefault="0058660A" w:rsidP="0058660A">
            <w:pPr>
              <w:spacing w:before="0"/>
              <w:ind w:right="144"/>
              <w:rPr>
                <w:bCs/>
                <w:iCs/>
              </w:rPr>
            </w:pPr>
          </w:p>
          <w:p w14:paraId="63D55015" w14:textId="77777777" w:rsidR="00A474D9" w:rsidRDefault="009A55C6" w:rsidP="000F4F73">
            <w:pPr>
              <w:spacing w:before="0"/>
              <w:ind w:left="144" w:right="144"/>
              <w:rPr>
                <w:bCs/>
                <w:iCs/>
                <w:lang w:val="it-IT"/>
              </w:rPr>
            </w:pPr>
            <w:r>
              <w:rPr>
                <w:bCs/>
                <w:iCs/>
                <w:lang w:val="it-IT"/>
              </w:rPr>
              <w:t>Kim Kolb</w:t>
            </w:r>
          </w:p>
          <w:p w14:paraId="00DFCE18" w14:textId="6BC0148D" w:rsidR="009A55C6" w:rsidRPr="00192FA7" w:rsidRDefault="009A55C6" w:rsidP="000F4F73">
            <w:pPr>
              <w:spacing w:before="0"/>
              <w:ind w:left="144" w:right="144"/>
              <w:rPr>
                <w:bCs/>
                <w:iCs/>
                <w:lang w:val="it-IT"/>
              </w:rPr>
            </w:pPr>
            <w:r>
              <w:rPr>
                <w:bCs/>
                <w:iCs/>
                <w:lang w:val="it-IT"/>
              </w:rPr>
              <w:t>Boeing</w:t>
            </w:r>
          </w:p>
        </w:tc>
        <w:tc>
          <w:tcPr>
            <w:tcW w:w="4950" w:type="dxa"/>
            <w:tcBorders>
              <w:right w:val="double" w:sz="6" w:space="0" w:color="auto"/>
            </w:tcBorders>
          </w:tcPr>
          <w:p w14:paraId="24F215C2" w14:textId="77777777" w:rsidR="000D6DA7" w:rsidRPr="009A55C6" w:rsidRDefault="000D6DA7" w:rsidP="009A55C6">
            <w:pPr>
              <w:spacing w:before="0"/>
              <w:ind w:left="144" w:right="144"/>
              <w:rPr>
                <w:bCs/>
                <w:color w:val="000000"/>
                <w:lang w:val="fr-FR"/>
              </w:rPr>
            </w:pPr>
          </w:p>
          <w:p w14:paraId="599A072C" w14:textId="0511FDBA" w:rsidR="009A55C6" w:rsidRPr="00192FA7" w:rsidRDefault="0058660A" w:rsidP="009A55C6">
            <w:pPr>
              <w:spacing w:before="0"/>
              <w:ind w:left="31"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hyperlink r:id="rId11" w:history="1">
              <w:r w:rsidR="0050177E" w:rsidRPr="009A55C6">
                <w:rPr>
                  <w:color w:val="0070C0"/>
                  <w:u w:val="single"/>
                </w:rPr>
                <w:t>njs@asri.aero</w:t>
              </w:r>
            </w:hyperlink>
          </w:p>
          <w:p w14:paraId="61233F11" w14:textId="3FF7A95A" w:rsidR="0058660A" w:rsidRPr="009A55C6" w:rsidRDefault="000F4F73" w:rsidP="009A55C6">
            <w:pPr>
              <w:spacing w:before="0"/>
              <w:ind w:left="31" w:right="144"/>
              <w:rPr>
                <w:bCs/>
                <w:color w:val="000000"/>
                <w:lang w:val="fr-FR"/>
              </w:rPr>
            </w:pPr>
            <w:r w:rsidRPr="009A55C6">
              <w:rPr>
                <w:bCs/>
                <w:color w:val="000000"/>
                <w:lang w:val="fr-FR"/>
              </w:rPr>
              <w:t xml:space="preserve">  </w:t>
            </w:r>
          </w:p>
          <w:p w14:paraId="03E051C2" w14:textId="77777777" w:rsidR="000F4F73" w:rsidRPr="009A55C6" w:rsidRDefault="000F4F73" w:rsidP="009A55C6">
            <w:pPr>
              <w:spacing w:before="0"/>
              <w:ind w:left="31" w:right="144"/>
              <w:rPr>
                <w:bCs/>
                <w:color w:val="000000"/>
                <w:lang w:val="fr-FR"/>
              </w:rPr>
            </w:pPr>
          </w:p>
          <w:p w14:paraId="70EC8BDA" w14:textId="3DBE260D" w:rsidR="009A55C6" w:rsidRPr="009A55C6" w:rsidRDefault="009A55C6" w:rsidP="009A55C6">
            <w:pPr>
              <w:spacing w:before="0"/>
              <w:ind w:left="31" w:right="144"/>
              <w:rPr>
                <w:bCs/>
                <w:color w:val="0070C0"/>
                <w:u w:val="single"/>
                <w:lang w:val="fr-FR"/>
              </w:rPr>
            </w:pPr>
            <w:proofErr w:type="gramStart"/>
            <w:r w:rsidRPr="009A55C6">
              <w:rPr>
                <w:bCs/>
                <w:color w:val="000000"/>
                <w:lang w:val="fr-FR"/>
              </w:rPr>
              <w:t>Email:</w:t>
            </w:r>
            <w:proofErr w:type="gramEnd"/>
            <w:r w:rsidRPr="009A55C6">
              <w:rPr>
                <w:bCs/>
                <w:color w:val="000000"/>
                <w:lang w:val="fr-FR"/>
              </w:rPr>
              <w:t xml:space="preserve">  </w:t>
            </w:r>
            <w:hyperlink r:id="rId12" w:history="1">
              <w:r w:rsidRPr="009A55C6">
                <w:rPr>
                  <w:color w:val="0070C0"/>
                  <w:u w:val="single"/>
                </w:rPr>
                <w:t>kim.l.kolb@boeing.com</w:t>
              </w:r>
            </w:hyperlink>
          </w:p>
          <w:p w14:paraId="4523B975" w14:textId="77777777" w:rsidR="0051744D" w:rsidRPr="009A55C6" w:rsidRDefault="0051744D" w:rsidP="009A55C6">
            <w:pPr>
              <w:spacing w:before="0"/>
              <w:ind w:left="31" w:right="144"/>
              <w:rPr>
                <w:bCs/>
                <w:color w:val="000000"/>
                <w:lang w:val="fr-FR"/>
              </w:rPr>
            </w:pPr>
          </w:p>
          <w:p w14:paraId="0E502D36" w14:textId="77777777" w:rsidR="00795449" w:rsidRPr="009A55C6" w:rsidRDefault="00795449" w:rsidP="009A55C6">
            <w:pPr>
              <w:spacing w:before="0"/>
              <w:ind w:right="144"/>
              <w:rPr>
                <w:bCs/>
                <w:color w:val="000000"/>
                <w:lang w:val="fr-FR"/>
              </w:rPr>
            </w:pPr>
          </w:p>
          <w:p w14:paraId="729EFE07" w14:textId="5726B37F" w:rsidR="004C757E" w:rsidRPr="00192FA7" w:rsidRDefault="00795449" w:rsidP="009A55C6">
            <w:pPr>
              <w:spacing w:before="0"/>
              <w:ind w:right="144"/>
              <w:rPr>
                <w:bCs/>
                <w:color w:val="000000"/>
                <w:lang w:val="fr-FR"/>
              </w:rPr>
            </w:pPr>
            <w:r w:rsidRPr="009A55C6">
              <w:rPr>
                <w:bCs/>
                <w:color w:val="000000"/>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67FA8FF3" w:rsidR="000D6DA7" w:rsidRPr="00192FA7" w:rsidRDefault="000D6DA7" w:rsidP="00475C63">
            <w:pPr>
              <w:spacing w:after="120"/>
              <w:ind w:left="187" w:right="144"/>
              <w:rPr>
                <w:bCs/>
              </w:rPr>
            </w:pPr>
            <w:r w:rsidRPr="00192FA7">
              <w:rPr>
                <w:b/>
              </w:rPr>
              <w:t>Purpose/Objective:</w:t>
            </w:r>
            <w:r w:rsidRPr="00192FA7">
              <w:rPr>
                <w:bCs/>
              </w:rPr>
              <w:t xml:space="preserve">  </w:t>
            </w:r>
            <w:bookmarkStart w:id="0" w:name="_Hlk30001984"/>
            <w:r w:rsidR="00647CCB" w:rsidRPr="00192FA7">
              <w:rPr>
                <w:bCs/>
              </w:rPr>
              <w:t>This contribution</w:t>
            </w:r>
            <w:r w:rsidR="006D5EFE" w:rsidRPr="00192FA7">
              <w:rPr>
                <w:bCs/>
              </w:rPr>
              <w:t xml:space="preserve"> </w:t>
            </w:r>
            <w:r w:rsidR="00E44140">
              <w:rPr>
                <w:bCs/>
              </w:rPr>
              <w:t>pr</w:t>
            </w:r>
            <w:r w:rsidR="00DA22B5">
              <w:rPr>
                <w:bCs/>
              </w:rPr>
              <w:t>esents a</w:t>
            </w:r>
            <w:bookmarkEnd w:id="0"/>
            <w:r w:rsidR="00E81F3E">
              <w:rPr>
                <w:bCs/>
              </w:rPr>
              <w:t>dditional information on radio altimeters operating in the 4.2-4.4 GHz band.</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0B4F1BD6"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DA22B5" w:rsidRPr="00192FA7">
              <w:rPr>
                <w:bCs/>
              </w:rPr>
              <w:t xml:space="preserve">This contribution </w:t>
            </w:r>
            <w:r w:rsidR="00E81F3E">
              <w:rPr>
                <w:bCs/>
              </w:rPr>
              <w:t>presents additional information for WP 5B’s consideration when developing their response liaison station to WP 5D concerning WRC-27 agenda item 1.7.</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1" w:name="ditulogo"/>
            <w:bookmarkEnd w:id="1"/>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r w:rsidRPr="001D6EFE">
              <w:rPr>
                <w:rFonts w:ascii="Verdana" w:hAnsi="Verdana"/>
                <w:sz w:val="20"/>
                <w:lang w:val="fr-FR"/>
              </w:rPr>
              <w:t>Subject:</w:t>
            </w:r>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4" w:name="ddate" w:colFirst="1" w:colLast="1"/>
            <w:bookmarkEnd w:id="3"/>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5" w:name="dorlang" w:colFirst="1" w:colLast="1"/>
            <w:bookmarkEnd w:id="4"/>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6" w:name="dsource" w:colFirst="0" w:colLast="0"/>
            <w:bookmarkEnd w:id="5"/>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7" w:name="drec" w:colFirst="0" w:colLast="0"/>
            <w:bookmarkEnd w:id="6"/>
          </w:p>
          <w:p w14:paraId="37927DF8" w14:textId="0F955756" w:rsidR="007B23C0" w:rsidRDefault="00410CE0" w:rsidP="004A512D">
            <w:pPr>
              <w:pStyle w:val="Title1"/>
              <w:rPr>
                <w:lang w:eastAsia="zh-CN"/>
              </w:rPr>
            </w:pPr>
            <w:r>
              <w:t>Additional technical information for sharing studies under WRC-27 agenda item 1.7</w:t>
            </w:r>
          </w:p>
        </w:tc>
      </w:tr>
    </w:tbl>
    <w:p w14:paraId="0052CDF7" w14:textId="77777777" w:rsidR="00A474D9" w:rsidRDefault="00A474D9">
      <w:pPr>
        <w:rPr>
          <w:b/>
        </w:rPr>
      </w:pPr>
      <w:bookmarkStart w:id="8" w:name="dtitle1" w:colFirst="0" w:colLast="0"/>
      <w:bookmarkEnd w:id="7"/>
    </w:p>
    <w:p w14:paraId="1162CF18" w14:textId="16AF97A0" w:rsidR="0050177E" w:rsidRPr="0050177E" w:rsidRDefault="0050177E" w:rsidP="0050177E">
      <w:pPr>
        <w:pStyle w:val="ListParagraph"/>
        <w:numPr>
          <w:ilvl w:val="0"/>
          <w:numId w:val="8"/>
        </w:numPr>
        <w:tabs>
          <w:tab w:val="clear" w:pos="1134"/>
          <w:tab w:val="left" w:pos="720"/>
        </w:tabs>
        <w:spacing w:before="240" w:after="240"/>
        <w:ind w:left="720" w:hanging="720"/>
        <w:rPr>
          <w:b/>
        </w:rPr>
      </w:pPr>
      <w:r w:rsidRPr="0050177E">
        <w:rPr>
          <w:b/>
        </w:rPr>
        <w:t>Introduction</w:t>
      </w:r>
    </w:p>
    <w:p w14:paraId="571CC2AE" w14:textId="02805C55" w:rsidR="0050177E" w:rsidRDefault="00F33736" w:rsidP="0050177E">
      <w:r w:rsidRPr="0050177E">
        <w:rPr>
          <w:bCs/>
        </w:rPr>
        <w:t>At the last meeting (</w:t>
      </w:r>
      <w:r w:rsidR="0050177E" w:rsidRPr="0050177E">
        <w:rPr>
          <w:bCs/>
        </w:rPr>
        <w:t>April to May</w:t>
      </w:r>
      <w:r w:rsidRPr="0050177E">
        <w:rPr>
          <w:bCs/>
        </w:rPr>
        <w:t xml:space="preserve"> 202</w:t>
      </w:r>
      <w:r w:rsidR="0050177E" w:rsidRPr="0050177E">
        <w:rPr>
          <w:bCs/>
        </w:rPr>
        <w:t>5</w:t>
      </w:r>
      <w:r w:rsidRPr="0050177E">
        <w:rPr>
          <w:bCs/>
        </w:rPr>
        <w:t xml:space="preserve">), Working Party </w:t>
      </w:r>
      <w:r w:rsidR="0050177E" w:rsidRPr="0050177E">
        <w:rPr>
          <w:bCs/>
        </w:rPr>
        <w:t xml:space="preserve">(WP) </w:t>
      </w:r>
      <w:r w:rsidRPr="0050177E">
        <w:rPr>
          <w:bCs/>
        </w:rPr>
        <w:t xml:space="preserve">5B, as a contributing group for WRC-27 agenda item 1.7, informed </w:t>
      </w:r>
      <w:r w:rsidR="0050177E" w:rsidRPr="0050177E">
        <w:rPr>
          <w:bCs/>
        </w:rPr>
        <w:t xml:space="preserve">WP 5D that </w:t>
      </w:r>
      <w:r w:rsidR="0050177E">
        <w:t xml:space="preserve">further information on radio altimeter performance in the frequency band 4 200-4 400 MHz and updates to considerations of WAIC may be provided. </w:t>
      </w:r>
    </w:p>
    <w:p w14:paraId="4E009800" w14:textId="522608D3" w:rsidR="0050177E" w:rsidRPr="0050177E" w:rsidRDefault="0050177E" w:rsidP="0050177E">
      <w:pPr>
        <w:pStyle w:val="ListParagraph"/>
        <w:numPr>
          <w:ilvl w:val="0"/>
          <w:numId w:val="8"/>
        </w:numPr>
        <w:tabs>
          <w:tab w:val="clear" w:pos="1134"/>
          <w:tab w:val="left" w:pos="720"/>
        </w:tabs>
        <w:spacing w:before="240" w:after="240"/>
        <w:ind w:left="720" w:hanging="720"/>
        <w:rPr>
          <w:b/>
        </w:rPr>
      </w:pPr>
      <w:r>
        <w:rPr>
          <w:b/>
        </w:rPr>
        <w:t>Proposal</w:t>
      </w:r>
    </w:p>
    <w:p w14:paraId="4B8C2CE0" w14:textId="53408321" w:rsidR="00F33736" w:rsidRDefault="00622FC4" w:rsidP="00F33736">
      <w:pPr>
        <w:rPr>
          <w:bCs/>
        </w:rPr>
      </w:pPr>
      <w:r>
        <w:rPr>
          <w:iCs/>
          <w:lang w:eastAsia="zh-CN"/>
        </w:rPr>
        <w:t xml:space="preserve">The </w:t>
      </w:r>
      <w:r w:rsidRPr="00A754D9">
        <w:rPr>
          <w:iCs/>
          <w:lang w:eastAsia="zh-CN"/>
        </w:rPr>
        <w:t>United States provides WP 5</w:t>
      </w:r>
      <w:r>
        <w:rPr>
          <w:iCs/>
          <w:lang w:eastAsia="zh-CN"/>
        </w:rPr>
        <w:t xml:space="preserve">B </w:t>
      </w:r>
      <w:r w:rsidR="00DA22B5">
        <w:rPr>
          <w:bCs/>
        </w:rPr>
        <w:t>a</w:t>
      </w:r>
      <w:r w:rsidR="00F33736">
        <w:rPr>
          <w:bCs/>
        </w:rPr>
        <w:t xml:space="preserve"> draft </w:t>
      </w:r>
      <w:proofErr w:type="gramStart"/>
      <w:r w:rsidR="00F33736">
        <w:rPr>
          <w:bCs/>
        </w:rPr>
        <w:t>reply</w:t>
      </w:r>
      <w:proofErr w:type="gramEnd"/>
      <w:r w:rsidR="00F33736">
        <w:rPr>
          <w:bCs/>
        </w:rPr>
        <w:t xml:space="preserve"> liaison </w:t>
      </w:r>
      <w:r>
        <w:rPr>
          <w:bCs/>
        </w:rPr>
        <w:t xml:space="preserve">for consideration to liaise </w:t>
      </w:r>
      <w:r w:rsidR="00F33736">
        <w:rPr>
          <w:bCs/>
        </w:rPr>
        <w:t xml:space="preserve">to </w:t>
      </w:r>
      <w:r>
        <w:rPr>
          <w:bCs/>
        </w:rPr>
        <w:t>WP 5D</w:t>
      </w:r>
      <w:r w:rsidR="00F33736">
        <w:rPr>
          <w:bCs/>
        </w:rPr>
        <w:t xml:space="preserve"> </w:t>
      </w:r>
      <w:r>
        <w:rPr>
          <w:bCs/>
        </w:rPr>
        <w:t xml:space="preserve">with </w:t>
      </w:r>
      <w:r>
        <w:t>further information on radio altimeter performance.</w:t>
      </w:r>
    </w:p>
    <w:p w14:paraId="662360E5" w14:textId="77777777" w:rsidR="00622FC4" w:rsidRDefault="00622FC4">
      <w:pPr>
        <w:tabs>
          <w:tab w:val="clear" w:pos="1134"/>
          <w:tab w:val="clear" w:pos="1871"/>
          <w:tab w:val="clear" w:pos="2268"/>
        </w:tabs>
        <w:overflowPunct/>
        <w:autoSpaceDE/>
        <w:autoSpaceDN/>
        <w:adjustRightInd/>
        <w:spacing w:before="0"/>
        <w:textAlignment w:val="auto"/>
        <w:rPr>
          <w:b/>
          <w:bCs/>
        </w:rPr>
      </w:pPr>
    </w:p>
    <w:p w14:paraId="0C199DAF" w14:textId="77777777" w:rsidR="00E061E2" w:rsidRPr="00F33736" w:rsidRDefault="00E061E2" w:rsidP="00E061E2">
      <w:pPr>
        <w:spacing w:before="480"/>
        <w:jc w:val="center"/>
        <w:textAlignment w:val="auto"/>
      </w:pPr>
      <w:r w:rsidRPr="00F33736">
        <w:t>______________</w:t>
      </w:r>
    </w:p>
    <w:p w14:paraId="4DC30256" w14:textId="77777777" w:rsidR="00E061E2" w:rsidRDefault="00E061E2" w:rsidP="00E061E2">
      <w:pPr>
        <w:tabs>
          <w:tab w:val="clear" w:pos="1134"/>
          <w:tab w:val="clear" w:pos="1871"/>
          <w:tab w:val="clear" w:pos="2268"/>
        </w:tabs>
        <w:overflowPunct/>
        <w:autoSpaceDE/>
        <w:autoSpaceDN/>
        <w:adjustRightInd/>
        <w:spacing w:before="0"/>
        <w:textAlignment w:val="auto"/>
        <w:rPr>
          <w:rFonts w:eastAsia="Calibri"/>
          <w:caps/>
          <w:sz w:val="28"/>
        </w:rPr>
      </w:pPr>
    </w:p>
    <w:p w14:paraId="7BF85D69" w14:textId="70D2C5AE" w:rsidR="00783B1D" w:rsidRPr="00622FC4" w:rsidRDefault="00622FC4" w:rsidP="00E061E2">
      <w:pPr>
        <w:tabs>
          <w:tab w:val="clear" w:pos="1134"/>
          <w:tab w:val="clear" w:pos="1871"/>
          <w:tab w:val="clear" w:pos="2268"/>
        </w:tabs>
        <w:overflowPunct/>
        <w:autoSpaceDE/>
        <w:autoSpaceDN/>
        <w:adjustRightInd/>
        <w:spacing w:before="0"/>
        <w:textAlignment w:val="auto"/>
        <w:rPr>
          <w:b/>
          <w:bCs/>
        </w:rPr>
      </w:pPr>
      <w:r w:rsidRPr="00622FC4">
        <w:rPr>
          <w:b/>
          <w:bCs/>
        </w:rPr>
        <w:t xml:space="preserve">ATTACHMENT </w:t>
      </w:r>
      <w:r w:rsidR="0050177E" w:rsidRPr="00622FC4">
        <w:rPr>
          <w:b/>
          <w:bCs/>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F33736" w:rsidRPr="00F33736" w14:paraId="117F22AC" w14:textId="77777777" w:rsidTr="00622FC4">
        <w:trPr>
          <w:cantSplit/>
        </w:trPr>
        <w:tc>
          <w:tcPr>
            <w:tcW w:w="9885" w:type="dxa"/>
            <w:hideMark/>
          </w:tcPr>
          <w:p w14:paraId="08E698C3" w14:textId="77777777" w:rsidR="00F33736" w:rsidRPr="00F33736" w:rsidRDefault="00F33736" w:rsidP="00F33736">
            <w:pPr>
              <w:tabs>
                <w:tab w:val="left" w:pos="567"/>
                <w:tab w:val="left" w:pos="1701"/>
                <w:tab w:val="left" w:pos="2835"/>
              </w:tabs>
              <w:spacing w:before="240"/>
              <w:jc w:val="center"/>
              <w:textAlignment w:val="auto"/>
              <w:rPr>
                <w:caps/>
                <w:sz w:val="28"/>
                <w:lang w:eastAsia="zh-CN"/>
              </w:rPr>
            </w:pPr>
            <w:bookmarkStart w:id="9" w:name="_Hlk167777030"/>
            <w:bookmarkEnd w:id="8"/>
            <w:r w:rsidRPr="00F33736">
              <w:rPr>
                <w:sz w:val="28"/>
                <w:lang w:eastAsia="zh-CN"/>
              </w:rPr>
              <w:lastRenderedPageBreak/>
              <w:t xml:space="preserve">REPLY LIAISON STATEMENT TO WORKING PARTY 5D </w:t>
            </w:r>
            <w:r w:rsidRPr="00F33736">
              <w:rPr>
                <w:sz w:val="28"/>
                <w:lang w:eastAsia="zh-CN"/>
              </w:rPr>
              <w:br/>
              <w:t xml:space="preserve">(COPY FOR INFORMATION TO WORKING PARTIES 1B, 3K, 3M, </w:t>
            </w:r>
            <w:r w:rsidRPr="00F33736">
              <w:rPr>
                <w:sz w:val="28"/>
                <w:lang w:eastAsia="zh-CN"/>
              </w:rPr>
              <w:br/>
              <w:t>4A, 4C, 5A, 5C, 7B, 7C, 7D AND ICAO)</w:t>
            </w:r>
            <w:bookmarkEnd w:id="9"/>
          </w:p>
        </w:tc>
      </w:tr>
      <w:tr w:rsidR="00F33736" w:rsidRPr="00F33736" w14:paraId="23D9C3E1" w14:textId="77777777" w:rsidTr="00622FC4">
        <w:trPr>
          <w:cantSplit/>
        </w:trPr>
        <w:tc>
          <w:tcPr>
            <w:tcW w:w="9885" w:type="dxa"/>
            <w:hideMark/>
          </w:tcPr>
          <w:p w14:paraId="5561CBF1" w14:textId="52D6C982" w:rsidR="00F33736" w:rsidRPr="00F33736" w:rsidRDefault="006E2D3F" w:rsidP="00F33736">
            <w:pPr>
              <w:overflowPunct/>
              <w:autoSpaceDE/>
              <w:autoSpaceDN/>
              <w:adjustRightInd/>
              <w:spacing w:before="240"/>
              <w:jc w:val="center"/>
              <w:textAlignment w:val="auto"/>
              <w:rPr>
                <w:b/>
                <w:sz w:val="28"/>
                <w:lang w:eastAsia="zh-CN"/>
              </w:rPr>
            </w:pPr>
            <w:bookmarkStart w:id="10" w:name="_Hlk167777038"/>
            <w:r>
              <w:rPr>
                <w:b/>
                <w:sz w:val="28"/>
                <w:lang w:eastAsia="zh-CN"/>
              </w:rPr>
              <w:t>Additional</w:t>
            </w:r>
            <w:r w:rsidR="00F33736" w:rsidRPr="00F33736">
              <w:rPr>
                <w:b/>
                <w:sz w:val="28"/>
                <w:lang w:eastAsia="zh-CN"/>
              </w:rPr>
              <w:t xml:space="preserve"> technical information for sharing studies </w:t>
            </w:r>
            <w:r w:rsidR="00F33736" w:rsidRPr="00F33736">
              <w:rPr>
                <w:b/>
                <w:sz w:val="28"/>
                <w:lang w:eastAsia="zh-CN"/>
              </w:rPr>
              <w:br/>
              <w:t>under WRC-27 agenda item 1.7</w:t>
            </w:r>
            <w:bookmarkEnd w:id="10"/>
          </w:p>
        </w:tc>
      </w:tr>
    </w:tbl>
    <w:p w14:paraId="76005020" w14:textId="7C617F12" w:rsidR="00F33736" w:rsidRDefault="00F33736" w:rsidP="0049138D">
      <w:pPr>
        <w:spacing w:before="360"/>
        <w:textAlignment w:val="auto"/>
      </w:pPr>
      <w:bookmarkStart w:id="11" w:name="dbreak"/>
      <w:bookmarkEnd w:id="11"/>
      <w:r w:rsidRPr="00F33736">
        <w:t xml:space="preserve">Working Party (WP) 5B </w:t>
      </w:r>
      <w:r w:rsidR="0049138D">
        <w:t>would like to thank</w:t>
      </w:r>
      <w:r w:rsidRPr="00F33736">
        <w:t xml:space="preserve"> WP 5D for its liaison statement</w:t>
      </w:r>
      <w:r w:rsidR="0049138D">
        <w:t>s</w:t>
      </w:r>
      <w:r w:rsidRPr="00F33736">
        <w:t xml:space="preserve"> (Document</w:t>
      </w:r>
      <w:r w:rsidR="0049138D">
        <w:t xml:space="preserve"> </w:t>
      </w:r>
      <w:hyperlink r:id="rId14" w:history="1">
        <w:r w:rsidR="0049138D" w:rsidRPr="0049138D">
          <w:rPr>
            <w:rStyle w:val="Hyperlink"/>
          </w:rPr>
          <w:t>5B/147</w:t>
        </w:r>
      </w:hyperlink>
      <w:r w:rsidRPr="00F33736">
        <w:t xml:space="preserve">) requesting </w:t>
      </w:r>
      <w:r w:rsidR="0049138D">
        <w:t xml:space="preserve">additional information on radio altimeter performance in the frequency band 4200- 4400 </w:t>
      </w:r>
      <w:proofErr w:type="spellStart"/>
      <w:r w:rsidR="0049138D">
        <w:t>MHz.</w:t>
      </w:r>
      <w:proofErr w:type="spellEnd"/>
      <w:r w:rsidR="0049138D">
        <w:t xml:space="preserve"> </w:t>
      </w:r>
      <w:r w:rsidR="00622FC4" w:rsidRPr="00622FC4">
        <w:t xml:space="preserve">WP 5B provides to WP 5D the following technical </w:t>
      </w:r>
      <w:r w:rsidR="00622FC4">
        <w:t>i</w:t>
      </w:r>
      <w:r w:rsidR="00622FC4" w:rsidRPr="00622FC4">
        <w:t xml:space="preserve">nformation </w:t>
      </w:r>
      <w:r w:rsidR="00622FC4">
        <w:t>regarding radio altimeters</w:t>
      </w:r>
      <w:r w:rsidR="00622FC4" w:rsidRPr="00622FC4">
        <w:t xml:space="preserve"> to </w:t>
      </w:r>
      <w:r w:rsidR="00622FC4">
        <w:t xml:space="preserve">consider when </w:t>
      </w:r>
      <w:r w:rsidR="00622FC4" w:rsidRPr="00622FC4">
        <w:t>conduct</w:t>
      </w:r>
      <w:r w:rsidR="00622FC4">
        <w:t>ing</w:t>
      </w:r>
      <w:r w:rsidR="00622FC4" w:rsidRPr="00622FC4">
        <w:t xml:space="preserve"> sharing and compatibility studies.</w:t>
      </w:r>
      <w:r w:rsidR="00622FC4">
        <w:t xml:space="preserve"> </w:t>
      </w:r>
    </w:p>
    <w:p w14:paraId="74C66677" w14:textId="5A4E6E7F" w:rsidR="00E061E2" w:rsidRPr="00E061E2" w:rsidRDefault="00E061E2" w:rsidP="00E061E2">
      <w:pPr>
        <w:spacing w:after="120"/>
        <w:textAlignment w:val="auto"/>
        <w:rPr>
          <w:szCs w:val="24"/>
        </w:rPr>
      </w:pPr>
      <w:r w:rsidRPr="00E061E2">
        <w:rPr>
          <w:b/>
          <w:szCs w:val="24"/>
          <w:lang w:eastAsia="zh-CN"/>
        </w:rPr>
        <w:t>Radio Altimeters</w:t>
      </w:r>
    </w:p>
    <w:p w14:paraId="70BDCC4C" w14:textId="77777777" w:rsidR="00622FC4" w:rsidRDefault="00622FC4" w:rsidP="00622FC4">
      <w:r w:rsidRPr="00622FC4">
        <w:t>Recommendation</w:t>
      </w:r>
      <w:r w:rsidRPr="00D8040F">
        <w:rPr>
          <w:b/>
          <w:bCs/>
        </w:rPr>
        <w:t xml:space="preserve"> </w:t>
      </w:r>
      <w:hyperlink r:id="rId15" w:history="1">
        <w:r w:rsidRPr="00C44B53">
          <w:rPr>
            <w:rStyle w:val="Hyperlink"/>
            <w:b/>
            <w:bCs/>
          </w:rPr>
          <w:t>ITU-R M.2059-0</w:t>
        </w:r>
      </w:hyperlink>
      <w:r>
        <w:rPr>
          <w:b/>
          <w:bCs/>
        </w:rPr>
        <w:t xml:space="preserve"> </w:t>
      </w:r>
      <w:r>
        <w:t xml:space="preserve">provides the technical and operational characteristics, and protection criteria of radio altimeters, which operate during all phases of flight. Representative radio altimeter operational and technical characteristics are contained in Annex 1 and Annex 2; and radio altimeter protection criteria are contained in Annex 3. </w:t>
      </w:r>
    </w:p>
    <w:p w14:paraId="7F2A02A0" w14:textId="5F29E4FC" w:rsidR="00BF17A1" w:rsidRDefault="00622FC4" w:rsidP="00622FC4">
      <w:r>
        <w:t xml:space="preserve">It should be noted that the evaluation of potential interferers should </w:t>
      </w:r>
      <w:r w:rsidR="00BF17A1">
        <w:t xml:space="preserve">consider all altitudes each radio altimeter </w:t>
      </w:r>
      <w:r w:rsidR="00E061E2">
        <w:t xml:space="preserve">model </w:t>
      </w:r>
      <w:r w:rsidR="00BF17A1">
        <w:t>operates from 0 m to the</w:t>
      </w:r>
      <w:r>
        <w:t xml:space="preserve"> “operational altitude” in Tables 1 and 2. </w:t>
      </w:r>
    </w:p>
    <w:p w14:paraId="114268DD" w14:textId="29FE2FA0" w:rsidR="00BF17A1" w:rsidRDefault="00BF17A1" w:rsidP="00622FC4">
      <w:r>
        <w:t xml:space="preserve">For each radio altimeter model, the protection criteria contained in Annex 3 should be applied as provided from </w:t>
      </w:r>
      <w:r w:rsidRPr="00BF17A1">
        <w:t xml:space="preserve">the upper limit of the “Range of reported altitude” </w:t>
      </w:r>
      <w:r w:rsidR="00E061E2">
        <w:t>(</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r w:rsidR="00E061E2">
        <w:rPr>
          <w:lang w:eastAsia="zh-CN"/>
        </w:rPr>
        <w:t xml:space="preserve">) </w:t>
      </w:r>
      <w:r w:rsidRPr="00BF17A1">
        <w:t xml:space="preserve">to the “Operational Altitude” </w:t>
      </w:r>
      <w:r w:rsidR="006F292A">
        <w:t>(</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Op</m:t>
            </m:r>
          </m:sub>
        </m:sSub>
      </m:oMath>
      <w:r w:rsidR="006F292A">
        <w:rPr>
          <w:lang w:eastAsia="zh-CN"/>
        </w:rPr>
        <w:t xml:space="preserve">) </w:t>
      </w:r>
      <w:r w:rsidRPr="00BF17A1">
        <w:t>stipulated in Tables 1 and 2 of the Recommendation</w:t>
      </w:r>
      <w:r>
        <w:t>. F</w:t>
      </w:r>
      <w:r w:rsidRPr="00BF17A1">
        <w:t xml:space="preserve">or altitudes less than the </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r>
        <w:t xml:space="preserve">, an altitude </w:t>
      </w:r>
      <w:r w:rsidRPr="00BF17A1">
        <w:t>adjustment factor</w:t>
      </w:r>
      <w:r>
        <w:t xml:space="preserve"> </w:t>
      </w:r>
      <w:r w:rsidR="00D90376">
        <w:t>(</w:t>
      </w:r>
      <m:oMath>
        <m:r>
          <w:rPr>
            <w:rFonts w:ascii="Cambria Math" w:hAnsi="Cambria Math"/>
            <w:szCs w:val="24"/>
          </w:rPr>
          <m:t>AAF(Alt)</m:t>
        </m:r>
      </m:oMath>
      <w:r w:rsidR="00D90376">
        <w:rPr>
          <w:szCs w:val="24"/>
        </w:rPr>
        <w:t>)</w:t>
      </w:r>
      <w:r w:rsidR="00E061E2">
        <w:rPr>
          <w:szCs w:val="24"/>
        </w:rPr>
        <w:t xml:space="preserve"> </w:t>
      </w:r>
      <w:r>
        <w:t xml:space="preserve">should be considered. </w:t>
      </w:r>
    </w:p>
    <w:p w14:paraId="67C8577B" w14:textId="483381A0" w:rsidR="00E061E2" w:rsidRPr="00E061E2" w:rsidRDefault="00E061E2" w:rsidP="00E061E2">
      <w:pPr>
        <w:spacing w:after="120"/>
        <w:textAlignment w:val="auto"/>
        <w:rPr>
          <w:szCs w:val="24"/>
        </w:rPr>
      </w:pPr>
      <w:r>
        <w:rPr>
          <w:b/>
          <w:szCs w:val="24"/>
          <w:lang w:eastAsia="zh-CN"/>
        </w:rPr>
        <w:t>Altitude Adjustment Factor</w:t>
      </w:r>
    </w:p>
    <w:p w14:paraId="1778FFAC" w14:textId="022C1D61" w:rsidR="00E061E2" w:rsidRPr="00E061E2" w:rsidRDefault="00E061E2" w:rsidP="00E061E2">
      <w:pPr>
        <w:textAlignment w:val="auto"/>
      </w:pPr>
      <w:r w:rsidRPr="00E061E2">
        <w:t xml:space="preserve">The </w:t>
      </w:r>
      <m:oMath>
        <m:r>
          <w:rPr>
            <w:rFonts w:ascii="Cambria Math" w:hAnsi="Cambria Math"/>
            <w:szCs w:val="24"/>
          </w:rPr>
          <m:t>AAF(Alt)</m:t>
        </m:r>
      </m:oMath>
      <w:r w:rsidRPr="00E061E2">
        <w:t xml:space="preserve"> is used to approximate the radio altimeters improved resilience to interfering signals at lower altitudes. This assumption is supported by publicly available test data, including radio altimeter breakpoints and interference tolerance thresholds from Annex 3.6 of the Report on the 34th meeting of Working Party 5B (5B/315), which show that radio altimeters are typically more resilient to interference at lower altitudes. This increased resilience is assumed to occur primarily due to two mechanisms: (1) the received signal is typically stronger at lower altitudes due to a reduction in signal loop loss, and (2) the receiver may implement automatic gain control, which reduces sensitivity to undesired signals as the desired signal strength increases.</w:t>
      </w:r>
    </w:p>
    <w:p w14:paraId="32EEC95C" w14:textId="37EDF501" w:rsidR="00E061E2" w:rsidRPr="00E061E2" w:rsidRDefault="00E061E2" w:rsidP="00E061E2">
      <w:pPr>
        <w:jc w:val="both"/>
      </w:pPr>
      <w:r w:rsidRPr="00E061E2">
        <w:t>For all</w:t>
      </w:r>
      <w:r>
        <w:t xml:space="preserve"> altimeter models and all</w:t>
      </w:r>
      <w:r w:rsidRPr="00E061E2">
        <w:t xml:space="preserve"> three failure modes the </w:t>
      </w:r>
      <m:oMath>
        <m:r>
          <w:rPr>
            <w:rFonts w:ascii="Cambria Math" w:hAnsi="Cambria Math"/>
            <w:szCs w:val="24"/>
          </w:rPr>
          <m:t>AAF(Alt)</m:t>
        </m:r>
      </m:oMath>
      <w:r w:rsidRPr="00E061E2">
        <w:rPr>
          <w:szCs w:val="24"/>
        </w:rPr>
        <w:t xml:space="preserve"> is </w:t>
      </w:r>
      <w:r w:rsidRPr="00E061E2">
        <w:t xml:space="preserve">assumed to follow </w:t>
      </w:r>
      <w:r w:rsidR="006F292A">
        <w:t>the following e</w:t>
      </w:r>
      <w:r w:rsidRPr="00E061E2">
        <w:t>quation</w:t>
      </w:r>
      <w:r>
        <w:t>.</w:t>
      </w:r>
    </w:p>
    <w:p w14:paraId="2EC3F8C3" w14:textId="22C40FD2" w:rsidR="006F292A" w:rsidRPr="006F292A" w:rsidRDefault="00E061E2" w:rsidP="00E061E2">
      <w:pPr>
        <w:pStyle w:val="Equation"/>
        <w:tabs>
          <w:tab w:val="clear" w:pos="4820"/>
          <w:tab w:val="clear" w:pos="9639"/>
        </w:tabs>
        <w:ind w:left="1080" w:firstLine="360"/>
        <w:rPr>
          <w:szCs w:val="24"/>
        </w:rPr>
      </w:pPr>
      <m:oMath>
        <m:r>
          <w:rPr>
            <w:rFonts w:ascii="Cambria Math" w:hAnsi="Cambria Math"/>
            <w:szCs w:val="24"/>
          </w:rPr>
          <m:t>AAF</m:t>
        </m:r>
        <m:d>
          <m:dPr>
            <m:ctrlPr>
              <w:rPr>
                <w:rFonts w:ascii="Cambria Math" w:hAnsi="Cambria Math"/>
                <w:szCs w:val="24"/>
              </w:rPr>
            </m:ctrlPr>
          </m:dPr>
          <m:e>
            <m:r>
              <w:rPr>
                <w:rFonts w:ascii="Cambria Math" w:hAnsi="Cambria Math"/>
                <w:szCs w:val="24"/>
              </w:rPr>
              <m:t>Alt</m:t>
            </m:r>
          </m:e>
        </m:d>
        <m:r>
          <m:rPr>
            <m:sty m:val="p"/>
          </m:rPr>
          <w:rPr>
            <w:rFonts w:ascii="Cambria Math" w:hAnsi="Cambria Math"/>
            <w:szCs w:val="24"/>
          </w:rPr>
          <m:t>≤</m:t>
        </m:r>
      </m:oMath>
      <w:r w:rsidRPr="00E061E2">
        <w:rPr>
          <w:szCs w:val="24"/>
        </w:rPr>
        <w:tab/>
      </w:r>
      <w:r w:rsidRPr="00E061E2">
        <w:rPr>
          <w:szCs w:val="24"/>
        </w:rPr>
        <w:tab/>
      </w:r>
      <m:oMath>
        <m:r>
          <w:rPr>
            <w:rFonts w:ascii="Cambria Math" w:hAnsi="Cambria Math"/>
            <w:szCs w:val="24"/>
          </w:rPr>
          <m:t>IRI*log</m:t>
        </m:r>
        <m:d>
          <m:dPr>
            <m:ctrlPr>
              <w:rPr>
                <w:rFonts w:ascii="Cambria Math" w:hAnsi="Cambria Math"/>
                <w:i/>
                <w:iCs/>
                <w:szCs w:val="24"/>
              </w:rPr>
            </m:ctrlPr>
          </m:dPr>
          <m:e>
            <m:f>
              <m:fPr>
                <m:type m:val="skw"/>
                <m:ctrlPr>
                  <w:rPr>
                    <w:rFonts w:ascii="Cambria Math" w:hAnsi="Cambria Math"/>
                    <w:i/>
                    <w:iCs/>
                    <w:szCs w:val="24"/>
                  </w:rPr>
                </m:ctrlPr>
              </m:fPr>
              <m:num>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num>
              <m:den>
                <m:r>
                  <w:rPr>
                    <w:rFonts w:ascii="Cambria Math" w:hAnsi="Cambria Math"/>
                    <w:lang w:eastAsia="zh-CN"/>
                  </w:rPr>
                  <m:t>10</m:t>
                </m:r>
              </m:den>
            </m:f>
          </m:e>
        </m:d>
        <m:r>
          <w:rPr>
            <w:rFonts w:ascii="Cambria Math" w:hAnsi="Cambria Math"/>
            <w:szCs w:val="24"/>
          </w:rPr>
          <m:t xml:space="preserve">, </m:t>
        </m:r>
      </m:oMath>
      <w:r w:rsidR="006F292A" w:rsidRPr="00E061E2">
        <w:rPr>
          <w:iCs/>
          <w:szCs w:val="24"/>
        </w:rPr>
        <w:tab/>
        <w:t>for</w:t>
      </w:r>
      <w:r w:rsidR="006F292A">
        <w:rPr>
          <w:iCs/>
          <w:szCs w:val="24"/>
        </w:rPr>
        <w:t>,</w:t>
      </w:r>
      <w:r w:rsidR="006F292A">
        <w:rPr>
          <w:iCs/>
          <w:szCs w:val="24"/>
        </w:rPr>
        <w:tab/>
        <w:t xml:space="preserve">0 </w:t>
      </w:r>
      <m:oMath>
        <m:r>
          <w:rPr>
            <w:rFonts w:ascii="Cambria Math" w:hAnsi="Cambria Math"/>
            <w:lang w:eastAsia="zh-CN"/>
          </w:rPr>
          <m:t>&lt;</m:t>
        </m:r>
        <m:r>
          <w:rPr>
            <w:rFonts w:ascii="Cambria Math" w:hAnsi="Cambria Math"/>
            <w:szCs w:val="24"/>
          </w:rPr>
          <m:t xml:space="preserve">Alt </m:t>
        </m:r>
        <m:r>
          <w:rPr>
            <w:rFonts w:ascii="Cambria Math" w:hAnsi="Cambria Math"/>
            <w:lang w:eastAsia="zh-CN"/>
          </w:rPr>
          <m:t>≤</m:t>
        </m:r>
        <m:r>
          <w:rPr>
            <w:rFonts w:ascii="Cambria Math" w:hAnsi="Cambria Math"/>
            <w:szCs w:val="24"/>
          </w:rPr>
          <m:t xml:space="preserve"> 10</m:t>
        </m:r>
      </m:oMath>
    </w:p>
    <w:p w14:paraId="0DAF9648" w14:textId="46D0DD66" w:rsidR="00E061E2" w:rsidRPr="00E061E2" w:rsidRDefault="006F292A" w:rsidP="00E061E2">
      <w:pPr>
        <w:pStyle w:val="Equation"/>
        <w:tabs>
          <w:tab w:val="clear" w:pos="4820"/>
          <w:tab w:val="clear" w:pos="9639"/>
        </w:tabs>
        <w:ind w:left="1080" w:firstLine="360"/>
        <w:rPr>
          <w:szCs w:val="24"/>
        </w:rPr>
      </w:pPr>
      <w:r>
        <w:rPr>
          <w:szCs w:val="24"/>
        </w:rPr>
        <w:tab/>
      </w:r>
      <w:r>
        <w:rPr>
          <w:szCs w:val="24"/>
        </w:rPr>
        <w:tab/>
      </w:r>
      <w:r>
        <w:rPr>
          <w:szCs w:val="24"/>
        </w:rPr>
        <w:tab/>
      </w:r>
      <m:oMath>
        <m:r>
          <w:rPr>
            <w:rFonts w:ascii="Cambria Math" w:hAnsi="Cambria Math"/>
            <w:szCs w:val="24"/>
          </w:rPr>
          <m:t>IRI*log</m:t>
        </m:r>
        <m:d>
          <m:dPr>
            <m:ctrlPr>
              <w:rPr>
                <w:rFonts w:ascii="Cambria Math" w:hAnsi="Cambria Math"/>
                <w:i/>
                <w:iCs/>
                <w:szCs w:val="24"/>
              </w:rPr>
            </m:ctrlPr>
          </m:dPr>
          <m:e>
            <m:f>
              <m:fPr>
                <m:type m:val="skw"/>
                <m:ctrlPr>
                  <w:rPr>
                    <w:rFonts w:ascii="Cambria Math" w:hAnsi="Cambria Math"/>
                    <w:i/>
                    <w:iCs/>
                    <w:szCs w:val="24"/>
                  </w:rPr>
                </m:ctrlPr>
              </m:fPr>
              <m:num>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num>
              <m:den>
                <m:r>
                  <w:rPr>
                    <w:rFonts w:ascii="Cambria Math" w:hAnsi="Cambria Math"/>
                    <w:lang w:eastAsia="zh-CN"/>
                  </w:rPr>
                  <m:t>Alt</m:t>
                </m:r>
              </m:den>
            </m:f>
          </m:e>
        </m:d>
        <m:r>
          <w:rPr>
            <w:rFonts w:ascii="Cambria Math" w:hAnsi="Cambria Math"/>
            <w:szCs w:val="24"/>
          </w:rPr>
          <m:t xml:space="preserve">, </m:t>
        </m:r>
      </m:oMath>
      <w:r w:rsidR="00E061E2" w:rsidRPr="00E061E2">
        <w:rPr>
          <w:iCs/>
          <w:szCs w:val="24"/>
        </w:rPr>
        <w:tab/>
        <w:t>for</w:t>
      </w:r>
      <w:r>
        <w:rPr>
          <w:iCs/>
          <w:szCs w:val="24"/>
        </w:rPr>
        <w:t>,</w:t>
      </w:r>
      <w:r>
        <w:rPr>
          <w:iCs/>
          <w:szCs w:val="24"/>
        </w:rPr>
        <w:tab/>
        <w:t xml:space="preserve">10 </w:t>
      </w:r>
      <m:oMath>
        <m:r>
          <w:rPr>
            <w:rFonts w:ascii="Cambria Math" w:hAnsi="Cambria Math"/>
            <w:lang w:eastAsia="zh-CN"/>
          </w:rPr>
          <m:t>&lt;</m:t>
        </m:r>
        <m:r>
          <w:rPr>
            <w:rFonts w:ascii="Cambria Math" w:hAnsi="Cambria Math"/>
            <w:szCs w:val="24"/>
          </w:rPr>
          <m:t xml:space="preserve">Alt </m:t>
        </m:r>
        <m:r>
          <w:rPr>
            <w:rFonts w:ascii="Cambria Math" w:hAnsi="Cambria Math"/>
            <w:lang w:eastAsia="zh-CN"/>
          </w:rPr>
          <m:t>≤</m:t>
        </m:r>
        <m:r>
          <w:rPr>
            <w:rFonts w:ascii="Cambria Math" w:hAnsi="Cambria Math"/>
            <w:szCs w:val="24"/>
          </w:rPr>
          <m:t xml:space="preserve"> </m:t>
        </m:r>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p>
    <w:p w14:paraId="438E5769" w14:textId="20C6106B" w:rsidR="00E061E2" w:rsidRDefault="00E061E2" w:rsidP="00D90376">
      <w:pPr>
        <w:pStyle w:val="Equation"/>
        <w:tabs>
          <w:tab w:val="clear" w:pos="4820"/>
          <w:tab w:val="clear" w:pos="9639"/>
        </w:tabs>
        <w:rPr>
          <w:lang w:eastAsia="zh-CN"/>
        </w:rPr>
      </w:pPr>
      <w:r w:rsidRPr="00E061E2">
        <w:rPr>
          <w:szCs w:val="24"/>
        </w:rPr>
        <w:tab/>
      </w:r>
      <w:r w:rsidRPr="00E061E2">
        <w:rPr>
          <w:szCs w:val="24"/>
        </w:rPr>
        <w:tab/>
      </w:r>
      <w:r w:rsidRPr="00E061E2">
        <w:rPr>
          <w:szCs w:val="24"/>
        </w:rPr>
        <w:tab/>
        <w:t xml:space="preserve">  </w:t>
      </w:r>
      <w:r w:rsidRPr="00E061E2">
        <w:rPr>
          <w:szCs w:val="24"/>
        </w:rPr>
        <w:tab/>
      </w:r>
      <w:r w:rsidRPr="00E061E2">
        <w:rPr>
          <w:szCs w:val="24"/>
        </w:rPr>
        <w:tab/>
      </w:r>
      <m:oMath>
        <m:r>
          <m:rPr>
            <m:sty m:val="p"/>
          </m:rPr>
          <w:rPr>
            <w:rFonts w:ascii="Cambria Math" w:hAnsi="Cambria Math"/>
            <w:szCs w:val="24"/>
          </w:rPr>
          <m:t>0</m:t>
        </m:r>
      </m:oMath>
      <w:r w:rsidRPr="00E061E2">
        <w:rPr>
          <w:szCs w:val="24"/>
        </w:rPr>
        <w:t>,</w:t>
      </w:r>
      <w:r w:rsidRPr="00E061E2">
        <w:rPr>
          <w:szCs w:val="24"/>
        </w:rPr>
        <w:tab/>
      </w:r>
      <w:r w:rsidRPr="00E061E2">
        <w:rPr>
          <w:szCs w:val="24"/>
        </w:rPr>
        <w:tab/>
      </w:r>
      <w:r w:rsidRPr="00E061E2">
        <w:rPr>
          <w:szCs w:val="24"/>
        </w:rPr>
        <w:tab/>
      </w:r>
      <w:r w:rsidRPr="00E061E2">
        <w:rPr>
          <w:szCs w:val="24"/>
        </w:rPr>
        <w:tab/>
        <w:t>for</w:t>
      </w:r>
      <w:r w:rsidR="006F292A">
        <w:rPr>
          <w:szCs w:val="24"/>
        </w:rPr>
        <w:t>,</w:t>
      </w:r>
      <w:r w:rsidR="006F292A">
        <w:rPr>
          <w:szCs w:val="24"/>
        </w:rPr>
        <w:tab/>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r>
          <w:rPr>
            <w:rFonts w:ascii="Cambria Math" w:hAnsi="Cambria Math"/>
            <w:lang w:eastAsia="zh-CN"/>
          </w:rPr>
          <m:t xml:space="preserve"> &lt; Alt ≤ </m:t>
        </m:r>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Op</m:t>
            </m:r>
          </m:sub>
        </m:sSub>
      </m:oMath>
    </w:p>
    <w:p w14:paraId="03B84F49" w14:textId="3F64093D" w:rsidR="00174863" w:rsidRDefault="00174863" w:rsidP="00D90376">
      <w:pPr>
        <w:pStyle w:val="Equation"/>
        <w:tabs>
          <w:tab w:val="clear" w:pos="4820"/>
          <w:tab w:val="clear" w:pos="9639"/>
        </w:tabs>
        <w:rPr>
          <w:lang w:eastAsia="zh-CN"/>
        </w:rPr>
      </w:pPr>
      <w:r>
        <w:rPr>
          <w:lang w:eastAsia="zh-CN"/>
        </w:rPr>
        <w:t>where:</w:t>
      </w:r>
    </w:p>
    <w:p w14:paraId="0DFF3C64" w14:textId="7B2C6430" w:rsidR="00174863" w:rsidRDefault="00174863" w:rsidP="00D90376">
      <w:pPr>
        <w:pStyle w:val="Equation"/>
        <w:tabs>
          <w:tab w:val="clear" w:pos="4820"/>
          <w:tab w:val="clear" w:pos="9639"/>
        </w:tabs>
        <w:rPr>
          <w:szCs w:val="24"/>
        </w:rPr>
      </w:pPr>
      <w:r>
        <w:rPr>
          <w:lang w:eastAsia="zh-CN"/>
        </w:rPr>
        <w:tab/>
      </w:r>
      <m:oMath>
        <m:r>
          <w:rPr>
            <w:rFonts w:ascii="Cambria Math" w:hAnsi="Cambria Math"/>
            <w:szCs w:val="24"/>
          </w:rPr>
          <m:t>Alt</m:t>
        </m:r>
      </m:oMath>
      <w:r>
        <w:rPr>
          <w:szCs w:val="24"/>
        </w:rPr>
        <w:t xml:space="preserve">: </w:t>
      </w:r>
      <w:r w:rsidR="00066AE6">
        <w:rPr>
          <w:szCs w:val="24"/>
        </w:rPr>
        <w:t>A</w:t>
      </w:r>
      <w:r>
        <w:rPr>
          <w:szCs w:val="24"/>
        </w:rPr>
        <w:t>ltitude of the altimeter in meters</w:t>
      </w:r>
    </w:p>
    <w:p w14:paraId="77292A86" w14:textId="1C99EE52" w:rsidR="00174863" w:rsidRDefault="00174863" w:rsidP="00D90376">
      <w:pPr>
        <w:pStyle w:val="Equation"/>
        <w:tabs>
          <w:tab w:val="clear" w:pos="4820"/>
          <w:tab w:val="clear" w:pos="9639"/>
        </w:tabs>
        <w:rPr>
          <w:szCs w:val="24"/>
        </w:rPr>
      </w:pPr>
      <w:r>
        <w:rPr>
          <w:szCs w:val="24"/>
        </w:rPr>
        <w:tab/>
      </w:r>
      <w:bookmarkStart w:id="12" w:name="_Hlk205822818"/>
      <m:oMath>
        <m:r>
          <w:rPr>
            <w:rFonts w:ascii="Cambria Math" w:hAnsi="Cambria Math"/>
            <w:szCs w:val="24"/>
          </w:rPr>
          <m:t>IRI</m:t>
        </m:r>
      </m:oMath>
      <w:bookmarkEnd w:id="12"/>
      <w:r>
        <w:rPr>
          <w:szCs w:val="24"/>
        </w:rPr>
        <w:t xml:space="preserve">: </w:t>
      </w:r>
      <w:r w:rsidR="00066AE6">
        <w:rPr>
          <w:szCs w:val="24"/>
        </w:rPr>
        <w:t>A</w:t>
      </w:r>
      <w:r>
        <w:rPr>
          <w:szCs w:val="24"/>
        </w:rPr>
        <w:t>pproximated i</w:t>
      </w:r>
      <w:r w:rsidR="00066AE6">
        <w:rPr>
          <w:szCs w:val="24"/>
        </w:rPr>
        <w:t>nterference resilience i</w:t>
      </w:r>
      <w:r>
        <w:rPr>
          <w:szCs w:val="24"/>
        </w:rPr>
        <w:t>mprovement per decade decreases in altitude</w:t>
      </w:r>
    </w:p>
    <w:p w14:paraId="05037E7B" w14:textId="6ACC4AEF" w:rsidR="00066AE6" w:rsidRDefault="00174863" w:rsidP="00174863">
      <w:pPr>
        <w:pStyle w:val="Equation"/>
        <w:tabs>
          <w:tab w:val="clear" w:pos="4820"/>
          <w:tab w:val="clear" w:pos="9639"/>
        </w:tabs>
        <w:jc w:val="center"/>
        <w:rPr>
          <w:szCs w:val="24"/>
        </w:rPr>
      </w:pPr>
      <w:r>
        <w:rPr>
          <w:szCs w:val="24"/>
        </w:rPr>
        <w:t xml:space="preserve">0 ≤ </w:t>
      </w:r>
      <m:oMath>
        <m:r>
          <w:rPr>
            <w:rFonts w:ascii="Cambria Math" w:hAnsi="Cambria Math"/>
            <w:szCs w:val="24"/>
          </w:rPr>
          <m:t>IRI</m:t>
        </m:r>
      </m:oMath>
      <w:r w:rsidR="009A55C6">
        <w:rPr>
          <w:szCs w:val="24"/>
        </w:rPr>
        <w:t xml:space="preserve"> </w:t>
      </w:r>
      <w:r>
        <w:rPr>
          <w:szCs w:val="24"/>
        </w:rPr>
        <w:t>≤ 20</w:t>
      </w:r>
    </w:p>
    <w:p w14:paraId="3EA527FF" w14:textId="77777777" w:rsidR="00066AE6" w:rsidRDefault="00066AE6">
      <w:pPr>
        <w:tabs>
          <w:tab w:val="clear" w:pos="1134"/>
          <w:tab w:val="clear" w:pos="1871"/>
          <w:tab w:val="clear" w:pos="2268"/>
        </w:tabs>
        <w:overflowPunct/>
        <w:autoSpaceDE/>
        <w:autoSpaceDN/>
        <w:adjustRightInd/>
        <w:spacing w:before="0"/>
        <w:textAlignment w:val="auto"/>
        <w:rPr>
          <w:szCs w:val="24"/>
        </w:rPr>
      </w:pPr>
      <w:r>
        <w:rPr>
          <w:szCs w:val="24"/>
        </w:rPr>
        <w:br w:type="page"/>
      </w:r>
    </w:p>
    <w:p w14:paraId="3ACB55B6" w14:textId="0C1C119D" w:rsidR="00D90376" w:rsidRDefault="00D90376" w:rsidP="00D90376">
      <w:pPr>
        <w:spacing w:after="120"/>
        <w:textAlignment w:val="auto"/>
        <w:rPr>
          <w:b/>
          <w:szCs w:val="24"/>
          <w:lang w:eastAsia="zh-CN"/>
        </w:rPr>
      </w:pPr>
      <w:r>
        <w:rPr>
          <w:b/>
          <w:szCs w:val="24"/>
          <w:lang w:eastAsia="zh-CN"/>
        </w:rPr>
        <w:lastRenderedPageBreak/>
        <w:t>Applied Example</w:t>
      </w:r>
    </w:p>
    <w:p w14:paraId="41E0853D" w14:textId="720FB366" w:rsidR="00D90376" w:rsidRDefault="006F292A" w:rsidP="00D90376">
      <w:pPr>
        <w:spacing w:after="120"/>
        <w:textAlignment w:val="auto"/>
        <w:rPr>
          <w:szCs w:val="24"/>
        </w:rPr>
      </w:pPr>
      <w:r>
        <w:rPr>
          <w:szCs w:val="24"/>
        </w:rPr>
        <w:t xml:space="preserve">Considering the receiver desensitization </w:t>
      </w:r>
      <w:r w:rsidR="008746E2">
        <w:rPr>
          <w:szCs w:val="24"/>
        </w:rPr>
        <w:t xml:space="preserve">protection criteria at the radio altimeter receive port </w:t>
      </w:r>
      <w:r>
        <w:rPr>
          <w:szCs w:val="24"/>
        </w:rPr>
        <w:t>as</w:t>
      </w:r>
      <w:r w:rsidR="00066AE6">
        <w:rPr>
          <w:szCs w:val="24"/>
        </w:rPr>
        <w:t xml:space="preserve"> a function of altitude (</w:t>
      </w: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RxPort</m:t>
            </m:r>
          </m:sub>
        </m:sSub>
        <m:d>
          <m:dPr>
            <m:ctrlPr>
              <w:rPr>
                <w:rFonts w:ascii="Cambria Math" w:hAnsi="Cambria Math"/>
                <w:i/>
                <w:szCs w:val="24"/>
              </w:rPr>
            </m:ctrlPr>
          </m:dPr>
          <m:e>
            <m:r>
              <w:rPr>
                <w:rFonts w:ascii="Cambria Math" w:hAnsi="Cambria Math"/>
                <w:szCs w:val="24"/>
              </w:rPr>
              <m:t>Alt</m:t>
            </m:r>
          </m:e>
        </m:d>
      </m:oMath>
      <w:r w:rsidR="00066AE6">
        <w:rPr>
          <w:szCs w:val="24"/>
        </w:rPr>
        <w:t>) as</w:t>
      </w:r>
      <w:r>
        <w:rPr>
          <w:szCs w:val="24"/>
        </w:rPr>
        <w:t xml:space="preserve"> an example</w:t>
      </w:r>
      <w:r w:rsidR="008746E2">
        <w:rPr>
          <w:szCs w:val="24"/>
        </w:rPr>
        <w:t>, the following shows how to apply the</w:t>
      </w:r>
      <w:r>
        <w:rPr>
          <w:szCs w:val="24"/>
        </w:rPr>
        <w:t xml:space="preserve"> </w:t>
      </w:r>
      <m:oMath>
        <m:r>
          <w:rPr>
            <w:rFonts w:ascii="Cambria Math" w:hAnsi="Cambria Math"/>
            <w:szCs w:val="24"/>
          </w:rPr>
          <m:t>AAF</m:t>
        </m:r>
        <m:d>
          <m:dPr>
            <m:ctrlPr>
              <w:rPr>
                <w:rFonts w:ascii="Cambria Math" w:hAnsi="Cambria Math"/>
                <w:szCs w:val="24"/>
              </w:rPr>
            </m:ctrlPr>
          </m:dPr>
          <m:e>
            <m:r>
              <w:rPr>
                <w:rFonts w:ascii="Cambria Math" w:hAnsi="Cambria Math"/>
                <w:szCs w:val="24"/>
              </w:rPr>
              <m:t>Alt</m:t>
            </m:r>
          </m:e>
        </m:d>
      </m:oMath>
      <w:r w:rsidR="008746E2">
        <w:rPr>
          <w:szCs w:val="24"/>
        </w:rPr>
        <w:t>.</w:t>
      </w:r>
    </w:p>
    <w:p w14:paraId="40DF71A6" w14:textId="77777777" w:rsidR="008746E2" w:rsidRPr="00EF1CB2" w:rsidRDefault="008746E2" w:rsidP="008746E2">
      <w:pPr>
        <w:jc w:val="both"/>
      </w:pPr>
      <w:r w:rsidRPr="00EF1CB2">
        <w:rPr>
          <w:szCs w:val="24"/>
        </w:rPr>
        <w:t>For FMCW radio altimeters:</w:t>
      </w:r>
    </w:p>
    <w:p w14:paraId="5717C9C4" w14:textId="297D8D3A" w:rsidR="008746E2" w:rsidRPr="008746E2" w:rsidRDefault="00EB7278" w:rsidP="008746E2">
      <w:pPr>
        <w:keepNext/>
        <w:tabs>
          <w:tab w:val="clear" w:pos="1134"/>
          <w:tab w:val="clear" w:pos="1871"/>
          <w:tab w:val="clear" w:pos="2268"/>
        </w:tabs>
        <w:spacing w:before="60"/>
        <w:jc w:val="center"/>
        <w:rPr>
          <w:szCs w:val="24"/>
        </w:rPr>
      </w:pPr>
      <m:oMathPara>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RxPort</m:t>
              </m:r>
            </m:sub>
          </m:sSub>
          <m:d>
            <m:dPr>
              <m:ctrlPr>
                <w:rPr>
                  <w:rFonts w:ascii="Cambria Math" w:hAnsi="Cambria Math"/>
                  <w:i/>
                  <w:szCs w:val="24"/>
                </w:rPr>
              </m:ctrlPr>
            </m:dPr>
            <m:e>
              <m:r>
                <w:rPr>
                  <w:rFonts w:ascii="Cambria Math" w:hAnsi="Cambria Math"/>
                  <w:szCs w:val="24"/>
                </w:rPr>
                <m:t>Alt</m:t>
              </m:r>
            </m:e>
          </m:d>
          <m:r>
            <w:rPr>
              <w:rFonts w:ascii="Cambria Math" w:hAnsi="Cambria Math"/>
              <w:szCs w:val="24"/>
            </w:rPr>
            <m:t>=</m:t>
          </m:r>
          <m:r>
            <m:rPr>
              <m:sty m:val="p"/>
            </m:rPr>
            <w:rPr>
              <w:rFonts w:ascii="Cambria Math" w:hAnsi="Cambria Math"/>
              <w:szCs w:val="24"/>
            </w:rPr>
            <m:t>-114+10*</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szCs w:val="24"/>
                            </w:rPr>
                          </m:ctrlPr>
                        </m:sSubPr>
                        <m:e>
                          <m:r>
                            <w:rPr>
                              <w:rFonts w:ascii="Cambria Math" w:hAnsi="Cambria Math"/>
                              <w:szCs w:val="24"/>
                            </w:rPr>
                            <m:t>2</m:t>
                          </m:r>
                          <m:r>
                            <w:rPr>
                              <w:rFonts w:ascii="Cambria Math" w:hAnsi="Cambria Math"/>
                              <w:szCs w:val="24"/>
                            </w:rPr>
                            <m:t>BW</m:t>
                          </m:r>
                        </m:e>
                        <m:sub>
                          <m:r>
                            <w:rPr>
                              <w:rFonts w:ascii="Cambria Math" w:hAnsi="Cambria Math"/>
                              <w:szCs w:val="24"/>
                            </w:rPr>
                            <m:t>IF</m:t>
                          </m:r>
                        </m:sub>
                      </m:sSub>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den>
                  </m:f>
                </m:e>
              </m:d>
              <m:ctrlPr>
                <w:rPr>
                  <w:rFonts w:ascii="Cambria Math" w:hAnsi="Cambria Math"/>
                  <w:i/>
                  <w:szCs w:val="24"/>
                </w:rPr>
              </m:ctrlPr>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m:t>
          </m:r>
          <m:r>
            <w:rPr>
              <w:rFonts w:ascii="Cambria Math" w:hAnsi="Cambria Math"/>
              <w:szCs w:val="24"/>
            </w:rPr>
            <m:t>6+</m:t>
          </m:r>
          <m:r>
            <w:rPr>
              <w:rFonts w:ascii="Cambria Math" w:hAnsi="Cambria Math"/>
              <w:szCs w:val="24"/>
            </w:rPr>
            <m:t>AAF</m:t>
          </m:r>
          <m:r>
            <w:rPr>
              <w:rFonts w:ascii="Cambria Math" w:hAnsi="Cambria Math"/>
              <w:szCs w:val="24"/>
            </w:rPr>
            <m:t>(</m:t>
          </m:r>
          <m:r>
            <w:rPr>
              <w:rFonts w:ascii="Cambria Math" w:hAnsi="Cambria Math"/>
              <w:szCs w:val="24"/>
            </w:rPr>
            <m:t>Alt</m:t>
          </m:r>
          <m:r>
            <w:rPr>
              <w:rFonts w:ascii="Cambria Math" w:hAnsi="Cambria Math"/>
              <w:szCs w:val="24"/>
            </w:rPr>
            <m:t>)</m:t>
          </m:r>
        </m:oMath>
      </m:oMathPara>
    </w:p>
    <w:p w14:paraId="46A44396" w14:textId="647811EA" w:rsidR="008746E2" w:rsidRPr="008746E2" w:rsidRDefault="008746E2" w:rsidP="008746E2">
      <w:pPr>
        <w:pStyle w:val="Equation"/>
        <w:tabs>
          <w:tab w:val="clear" w:pos="4820"/>
          <w:tab w:val="clear" w:pos="9639"/>
        </w:tabs>
        <w:jc w:val="center"/>
        <w:rPr>
          <w:szCs w:val="24"/>
        </w:rPr>
      </w:pPr>
      <m:oMathPara>
        <m:oMath>
          <m:r>
            <m:rPr>
              <m:sty m:val="p"/>
            </m:rPr>
            <w:rPr>
              <w:rFonts w:ascii="Cambria Math" w:hAnsi="Cambria Math"/>
              <w:szCs w:val="24"/>
            </w:rPr>
            <m:t>-114+10*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-9+AAF(Alt)</m:t>
          </m:r>
        </m:oMath>
      </m:oMathPara>
    </w:p>
    <w:p w14:paraId="7026FE6B" w14:textId="77777777" w:rsidR="008746E2" w:rsidRPr="008746E2" w:rsidRDefault="008746E2" w:rsidP="008746E2">
      <w:r w:rsidRPr="008746E2">
        <w:rPr>
          <w:szCs w:val="24"/>
        </w:rPr>
        <w:t>For pulsed radio altimeters:</w:t>
      </w:r>
    </w:p>
    <w:p w14:paraId="511F8288" w14:textId="04193792" w:rsidR="008746E2" w:rsidRPr="008746E2" w:rsidRDefault="00EB7278" w:rsidP="008746E2">
      <w:pPr>
        <w:pStyle w:val="Equation"/>
        <w:jc w:val="center"/>
      </w:pPr>
      <m:oMathPara>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RxPort</m:t>
              </m:r>
            </m:sub>
          </m:sSub>
          <m:d>
            <m:dPr>
              <m:ctrlPr>
                <w:rPr>
                  <w:rFonts w:ascii="Cambria Math" w:hAnsi="Cambria Math"/>
                  <w:i/>
                  <w:szCs w:val="24"/>
                </w:rPr>
              </m:ctrlPr>
            </m:dPr>
            <m:e>
              <m:r>
                <w:rPr>
                  <w:rFonts w:ascii="Cambria Math" w:hAnsi="Cambria Math"/>
                  <w:szCs w:val="24"/>
                </w:rPr>
                <m:t>Alt</m:t>
              </m:r>
            </m:e>
          </m:d>
          <m:r>
            <m:rPr>
              <m:sty m:val="p"/>
            </m:rPr>
            <w:rPr>
              <w:rFonts w:ascii="Cambria Math" w:hAnsi="Cambria Math"/>
            </w:rPr>
            <m:t>=-114+10*</m:t>
          </m:r>
          <m:sSub>
            <m:sSubPr>
              <m:ctrlPr>
                <w:rPr>
                  <w:rFonts w:ascii="Cambria Math" w:hAnsi="Cambria Math"/>
                  <w:iCs/>
                </w:rPr>
              </m:ctrlPr>
            </m:sSubPr>
            <m:e>
              <m:r>
                <w:rPr>
                  <w:rFonts w:ascii="Cambria Math" w:hAnsi="Cambria Math"/>
                </w:rPr>
                <m:t>log</m:t>
              </m:r>
            </m:e>
            <m:sub>
              <m:r>
                <m:rPr>
                  <m:sty m:val="p"/>
                </m:rPr>
                <w:rPr>
                  <w:rFonts w:ascii="Cambria Math" w:hAnsi="Cambria Math"/>
                </w:rPr>
                <m:t>10</m:t>
              </m:r>
            </m:sub>
          </m:sSub>
          <m:d>
            <m:dPr>
              <m:ctrlPr>
                <w:rPr>
                  <w:rFonts w:ascii="Cambria Math" w:hAnsi="Cambria Math"/>
                  <w:iCs/>
                </w:rPr>
              </m:ctrlPr>
            </m:dPr>
            <m:e>
              <m:sSub>
                <m:sSubPr>
                  <m:ctrlPr>
                    <w:rPr>
                      <w:rFonts w:ascii="Cambria Math" w:hAnsi="Cambria Math"/>
                      <w:iCs/>
                    </w:rPr>
                  </m:ctrlPr>
                </m:sSubPr>
                <m:e>
                  <m:r>
                    <w:rPr>
                      <w:rFonts w:ascii="Cambria Math" w:hAnsi="Cambria Math"/>
                    </w:rPr>
                    <m:t>BW</m:t>
                  </m:r>
                </m:e>
                <m:sub>
                  <m:r>
                    <w:rPr>
                      <w:rFonts w:ascii="Cambria Math" w:hAnsi="Cambria Math"/>
                    </w:rPr>
                    <m:t>IF</m:t>
                  </m:r>
                </m:sub>
              </m:sSub>
            </m:e>
          </m:d>
          <m:r>
            <m:rPr>
              <m:sty m:val="p"/>
            </m:rPr>
            <w:rPr>
              <w:rFonts w:ascii="Cambria Math" w:hAnsi="Cambria Math"/>
            </w:rPr>
            <m:t>+</m:t>
          </m:r>
          <m:sSub>
            <m:sSubPr>
              <m:ctrlPr>
                <w:rPr>
                  <w:rFonts w:ascii="Cambria Math" w:hAnsi="Cambria Math"/>
                  <w:iCs/>
                </w:rPr>
              </m:ctrlPr>
            </m:sSubPr>
            <m:e>
              <m:r>
                <w:rPr>
                  <w:rFonts w:ascii="Cambria Math" w:hAnsi="Cambria Math"/>
                </w:rPr>
                <m:t>N</m:t>
              </m:r>
            </m:e>
            <m:sub>
              <m:r>
                <w:rPr>
                  <w:rFonts w:ascii="Cambria Math" w:hAnsi="Cambria Math"/>
                </w:rPr>
                <m:t>F</m:t>
              </m:r>
            </m:sub>
          </m:sSub>
          <m:r>
            <m:rPr>
              <m:sty m:val="p"/>
            </m:rPr>
            <w:rPr>
              <w:rFonts w:ascii="Cambria Math" w:hAnsi="Cambria Math"/>
            </w:rPr>
            <m:t>+-6</m:t>
          </m:r>
          <m:r>
            <w:rPr>
              <w:rFonts w:ascii="Cambria Math" w:hAnsi="Cambria Math"/>
              <w:szCs w:val="24"/>
            </w:rPr>
            <m:t>+</m:t>
          </m:r>
          <m:r>
            <w:rPr>
              <w:rFonts w:ascii="Cambria Math" w:hAnsi="Cambria Math"/>
              <w:szCs w:val="24"/>
            </w:rPr>
            <m:t>AAF</m:t>
          </m:r>
          <m:r>
            <w:rPr>
              <w:rFonts w:ascii="Cambria Math" w:hAnsi="Cambria Math"/>
              <w:szCs w:val="24"/>
            </w:rPr>
            <m:t>(</m:t>
          </m:r>
          <m:r>
            <w:rPr>
              <w:rFonts w:ascii="Cambria Math" w:hAnsi="Cambria Math"/>
              <w:szCs w:val="24"/>
            </w:rPr>
            <m:t>Alt</m:t>
          </m:r>
          <m:r>
            <w:rPr>
              <w:rFonts w:ascii="Cambria Math" w:hAnsi="Cambria Math"/>
              <w:szCs w:val="24"/>
            </w:rPr>
            <m:t>)</m:t>
          </m:r>
        </m:oMath>
      </m:oMathPara>
    </w:p>
    <w:p w14:paraId="7A3CD57D" w14:textId="77777777" w:rsidR="00066AE6" w:rsidRDefault="00066AE6" w:rsidP="00066AE6">
      <w:pPr>
        <w:pStyle w:val="Equation"/>
        <w:tabs>
          <w:tab w:val="clear" w:pos="4820"/>
          <w:tab w:val="clear" w:pos="9639"/>
        </w:tabs>
        <w:rPr>
          <w:lang w:eastAsia="zh-CN"/>
        </w:rPr>
      </w:pPr>
      <w:r>
        <w:rPr>
          <w:lang w:eastAsia="zh-CN"/>
        </w:rPr>
        <w:t>where:</w:t>
      </w:r>
    </w:p>
    <w:p w14:paraId="0AD709A9" w14:textId="38C4BE5C" w:rsidR="00066AE6" w:rsidRDefault="00066AE6" w:rsidP="00066AE6">
      <w:pPr>
        <w:pStyle w:val="Equation"/>
        <w:tabs>
          <w:tab w:val="clear" w:pos="4820"/>
          <w:tab w:val="clear" w:pos="9639"/>
        </w:tabs>
        <w:rPr>
          <w:szCs w:val="24"/>
        </w:rPr>
      </w:pPr>
      <w:r>
        <w:rPr>
          <w:lang w:eastAsia="zh-CN"/>
        </w:rPr>
        <w:tab/>
      </w:r>
      <m:oMath>
        <m:sSub>
          <m:sSubPr>
            <m:ctrlPr>
              <w:rPr>
                <w:rFonts w:ascii="Cambria Math" w:hAnsi="Cambria Math"/>
                <w:szCs w:val="24"/>
              </w:rPr>
            </m:ctrlPr>
          </m:sSubPr>
          <m:e>
            <m:r>
              <w:rPr>
                <w:rFonts w:ascii="Cambria Math" w:hAnsi="Cambria Math"/>
                <w:szCs w:val="24"/>
              </w:rPr>
              <m:t>BW</m:t>
            </m:r>
          </m:e>
          <m:sub>
            <m:r>
              <w:rPr>
                <w:rFonts w:ascii="Cambria Math" w:hAnsi="Cambria Math"/>
                <w:szCs w:val="24"/>
              </w:rPr>
              <m:t>IF</m:t>
            </m:r>
          </m:sub>
        </m:sSub>
      </m:oMath>
      <w:r>
        <w:rPr>
          <w:szCs w:val="24"/>
        </w:rPr>
        <w:t xml:space="preserve">: </w:t>
      </w:r>
      <w:r w:rsidRPr="00EF1CB2">
        <w:t>IF bandwidth</w:t>
      </w:r>
      <w:r>
        <w:rPr>
          <w:szCs w:val="24"/>
        </w:rPr>
        <w:t xml:space="preserve"> of the altimeter in MHz</w:t>
      </w:r>
    </w:p>
    <w:p w14:paraId="769A4593" w14:textId="6FFF05FA" w:rsidR="00066AE6" w:rsidRDefault="00066AE6" w:rsidP="00066AE6">
      <w:pPr>
        <w:pStyle w:val="Equation"/>
        <w:tabs>
          <w:tab w:val="clear" w:pos="4820"/>
          <w:tab w:val="clear" w:pos="9639"/>
        </w:tabs>
        <w:rPr>
          <w:szCs w:val="24"/>
        </w:rPr>
      </w:pPr>
      <w:r>
        <w:rPr>
          <w:szCs w:val="24"/>
        </w:rPr>
        <w:tab/>
      </w:r>
      <m:oMath>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oMath>
      <w:r>
        <w:rPr>
          <w:szCs w:val="24"/>
        </w:rPr>
        <w:t>: C</w:t>
      </w:r>
      <w:r w:rsidRPr="00EF1CB2">
        <w:t>hirp bandwidth</w:t>
      </w:r>
      <w:r w:rsidRPr="00066AE6">
        <w:rPr>
          <w:szCs w:val="24"/>
        </w:rPr>
        <w:t xml:space="preserve"> </w:t>
      </w:r>
      <w:r>
        <w:rPr>
          <w:szCs w:val="24"/>
        </w:rPr>
        <w:t>of the altimeter in MHz</w:t>
      </w:r>
    </w:p>
    <w:p w14:paraId="3FD4F47A" w14:textId="1F42D28F" w:rsidR="00EC6537" w:rsidRDefault="00066AE6" w:rsidP="00D90376">
      <w:pPr>
        <w:pStyle w:val="Equation"/>
        <w:tabs>
          <w:tab w:val="clear" w:pos="4820"/>
          <w:tab w:val="clear" w:pos="9639"/>
        </w:tabs>
        <w:rPr>
          <w:szCs w:val="24"/>
        </w:rPr>
      </w:pPr>
      <w:r>
        <w:rPr>
          <w:szCs w:val="24"/>
        </w:rPr>
        <w:tab/>
      </w:r>
      <m:oMath>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oMath>
      <w:r>
        <w:rPr>
          <w:szCs w:val="24"/>
        </w:rPr>
        <w:t>: N</w:t>
      </w:r>
      <w:r w:rsidRPr="00066AE6">
        <w:rPr>
          <w:szCs w:val="24"/>
        </w:rPr>
        <w:t>oise figure at the receiver input</w:t>
      </w:r>
      <w:r>
        <w:rPr>
          <w:szCs w:val="24"/>
        </w:rPr>
        <w:t xml:space="preserve"> in dB</w:t>
      </w:r>
    </w:p>
    <w:p w14:paraId="19E74D32" w14:textId="77777777" w:rsidR="00066AE6" w:rsidRDefault="00066AE6" w:rsidP="00D90376">
      <w:pPr>
        <w:pStyle w:val="Equation"/>
        <w:tabs>
          <w:tab w:val="clear" w:pos="4820"/>
          <w:tab w:val="clear" w:pos="9639"/>
        </w:tabs>
        <w:rPr>
          <w:szCs w:val="24"/>
        </w:rPr>
      </w:pPr>
    </w:p>
    <w:p w14:paraId="3C9BC288" w14:textId="11E45CC9" w:rsidR="00066AE6" w:rsidRPr="00066AE6" w:rsidRDefault="00066AE6" w:rsidP="00066AE6">
      <w:pPr>
        <w:pStyle w:val="Tablehead"/>
      </w:pPr>
      <w:r w:rsidRPr="00066AE6">
        <w:t>Recommendation ITU-R M.2059 Radio Altimeter Model Specific Parameters</w:t>
      </w:r>
    </w:p>
    <w:tbl>
      <w:tblPr>
        <w:tblW w:w="10650" w:type="dxa"/>
        <w:jc w:val="center"/>
        <w:tblLayout w:type="fixed"/>
        <w:tblCellMar>
          <w:left w:w="29" w:type="dxa"/>
          <w:right w:w="29" w:type="dxa"/>
        </w:tblCellMar>
        <w:tblLook w:val="04A0" w:firstRow="1" w:lastRow="0" w:firstColumn="1" w:lastColumn="0" w:noHBand="0" w:noVBand="1"/>
      </w:tblPr>
      <w:tblGrid>
        <w:gridCol w:w="1793"/>
        <w:gridCol w:w="1258"/>
        <w:gridCol w:w="719"/>
        <w:gridCol w:w="711"/>
        <w:gridCol w:w="671"/>
        <w:gridCol w:w="820"/>
        <w:gridCol w:w="802"/>
        <w:gridCol w:w="788"/>
        <w:gridCol w:w="776"/>
        <w:gridCol w:w="770"/>
        <w:gridCol w:w="770"/>
        <w:gridCol w:w="772"/>
      </w:tblGrid>
      <w:tr w:rsidR="00066AE6" w:rsidRPr="00066AE6" w14:paraId="7157C456" w14:textId="77777777" w:rsidTr="005B3AD0">
        <w:trPr>
          <w:trHeight w:val="288"/>
          <w:tblHeader/>
          <w:jc w:val="center"/>
        </w:trPr>
        <w:tc>
          <w:tcPr>
            <w:tcW w:w="1793" w:type="dxa"/>
            <w:vMerge w:val="restart"/>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E82BD90" w14:textId="77777777" w:rsidR="00066AE6" w:rsidRPr="00066AE6" w:rsidRDefault="00066AE6" w:rsidP="005B3AD0">
            <w:pPr>
              <w:pStyle w:val="Tablehead"/>
              <w:rPr>
                <w:rFonts w:ascii="Times New Roman" w:hAnsi="Times New Roman"/>
              </w:rPr>
            </w:pPr>
            <w:r w:rsidRPr="00066AE6">
              <w:t>Parameter</w:t>
            </w:r>
          </w:p>
        </w:tc>
        <w:tc>
          <w:tcPr>
            <w:tcW w:w="1258"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vAlign w:val="center"/>
            <w:hideMark/>
          </w:tcPr>
          <w:p w14:paraId="38AF1534" w14:textId="77777777" w:rsidR="00066AE6" w:rsidRPr="00066AE6" w:rsidRDefault="00066AE6" w:rsidP="005B3AD0">
            <w:pPr>
              <w:pStyle w:val="Tablehead"/>
            </w:pPr>
            <w:r w:rsidRPr="00066AE6">
              <w:t>Units</w:t>
            </w:r>
          </w:p>
        </w:tc>
        <w:tc>
          <w:tcPr>
            <w:tcW w:w="7599"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hideMark/>
          </w:tcPr>
          <w:p w14:paraId="2FCD4834" w14:textId="77777777" w:rsidR="00066AE6" w:rsidRPr="00066AE6" w:rsidRDefault="00066AE6" w:rsidP="005B3AD0">
            <w:pPr>
              <w:pStyle w:val="Tablehead"/>
            </w:pPr>
            <w:r w:rsidRPr="00066AE6">
              <w:t>Radio Altimeter Model</w:t>
            </w:r>
          </w:p>
        </w:tc>
      </w:tr>
      <w:tr w:rsidR="00066AE6" w:rsidRPr="00066AE6" w14:paraId="2FFFDE34" w14:textId="77777777" w:rsidTr="005B3AD0">
        <w:trPr>
          <w:trHeight w:val="432"/>
          <w:tblHeader/>
          <w:jc w:val="center"/>
        </w:trPr>
        <w:tc>
          <w:tcPr>
            <w:tcW w:w="1793" w:type="dxa"/>
            <w:vMerge/>
            <w:tcBorders>
              <w:top w:val="single" w:sz="4" w:space="0" w:color="auto"/>
              <w:left w:val="single" w:sz="4" w:space="0" w:color="auto"/>
              <w:bottom w:val="single" w:sz="4" w:space="0" w:color="auto"/>
              <w:right w:val="single" w:sz="4" w:space="0" w:color="000000"/>
            </w:tcBorders>
            <w:vAlign w:val="center"/>
            <w:hideMark/>
          </w:tcPr>
          <w:p w14:paraId="4F140217" w14:textId="77777777" w:rsidR="00066AE6" w:rsidRPr="00066AE6" w:rsidRDefault="00066AE6" w:rsidP="005B3AD0">
            <w:pPr>
              <w:pStyle w:val="Tablehead"/>
              <w:rPr>
                <w:rFonts w:ascii="Times New Roman" w:hAnsi="Times New Roman"/>
              </w:rPr>
            </w:pPr>
          </w:p>
        </w:tc>
        <w:tc>
          <w:tcPr>
            <w:tcW w:w="1258" w:type="dxa"/>
            <w:vMerge/>
            <w:tcBorders>
              <w:top w:val="single" w:sz="4" w:space="0" w:color="auto"/>
              <w:left w:val="single" w:sz="4" w:space="0" w:color="000000"/>
              <w:bottom w:val="single" w:sz="4" w:space="0" w:color="auto"/>
              <w:right w:val="single" w:sz="4" w:space="0" w:color="000000"/>
            </w:tcBorders>
            <w:vAlign w:val="center"/>
            <w:hideMark/>
          </w:tcPr>
          <w:p w14:paraId="4DA10718" w14:textId="77777777" w:rsidR="00066AE6" w:rsidRPr="00066AE6" w:rsidRDefault="00066AE6" w:rsidP="005B3AD0">
            <w:pPr>
              <w:pStyle w:val="Tablehead"/>
              <w:rPr>
                <w:rFonts w:ascii="Times New Roman" w:hAnsi="Times New Roman"/>
              </w:rPr>
            </w:pPr>
          </w:p>
        </w:tc>
        <w:tc>
          <w:tcPr>
            <w:tcW w:w="719"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599FC49" w14:textId="77777777" w:rsidR="00066AE6" w:rsidRPr="00066AE6" w:rsidRDefault="00066AE6" w:rsidP="005B3AD0">
            <w:pPr>
              <w:pStyle w:val="Tablehead"/>
            </w:pPr>
            <w:r w:rsidRPr="00066AE6">
              <w:t>A1</w:t>
            </w:r>
          </w:p>
        </w:tc>
        <w:tc>
          <w:tcPr>
            <w:tcW w:w="71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F704AD1" w14:textId="77777777" w:rsidR="00066AE6" w:rsidRPr="00066AE6" w:rsidRDefault="00066AE6" w:rsidP="005B3AD0">
            <w:pPr>
              <w:pStyle w:val="Tablehead"/>
            </w:pPr>
            <w:r w:rsidRPr="00066AE6">
              <w:t>A2</w:t>
            </w:r>
          </w:p>
        </w:tc>
        <w:tc>
          <w:tcPr>
            <w:tcW w:w="67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1F32D03" w14:textId="77777777" w:rsidR="00066AE6" w:rsidRPr="00066AE6" w:rsidRDefault="00066AE6" w:rsidP="005B3AD0">
            <w:pPr>
              <w:pStyle w:val="Tablehead"/>
            </w:pPr>
            <w:r w:rsidRPr="00066AE6">
              <w:t>A3</w:t>
            </w:r>
          </w:p>
        </w:tc>
        <w:tc>
          <w:tcPr>
            <w:tcW w:w="8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91293F3" w14:textId="77777777" w:rsidR="00066AE6" w:rsidRPr="00066AE6" w:rsidRDefault="00066AE6" w:rsidP="005B3AD0">
            <w:pPr>
              <w:pStyle w:val="Tablehead"/>
            </w:pPr>
            <w:r w:rsidRPr="00066AE6">
              <w:t>A4</w:t>
            </w:r>
          </w:p>
        </w:tc>
        <w:tc>
          <w:tcPr>
            <w:tcW w:w="802"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8C28C2C" w14:textId="77777777" w:rsidR="00066AE6" w:rsidRPr="00066AE6" w:rsidRDefault="00066AE6" w:rsidP="005B3AD0">
            <w:pPr>
              <w:pStyle w:val="Tablehead"/>
            </w:pPr>
            <w:r w:rsidRPr="00066AE6">
              <w:t>A5</w:t>
            </w:r>
          </w:p>
        </w:tc>
        <w:tc>
          <w:tcPr>
            <w:tcW w:w="788"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A8844FB" w14:textId="77777777" w:rsidR="00066AE6" w:rsidRPr="00066AE6" w:rsidRDefault="00066AE6" w:rsidP="005B3AD0">
            <w:pPr>
              <w:pStyle w:val="Tablehead"/>
            </w:pPr>
            <w:r w:rsidRPr="00066AE6">
              <w:t>A6</w:t>
            </w:r>
          </w:p>
        </w:tc>
        <w:tc>
          <w:tcPr>
            <w:tcW w:w="776"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08CB3897" w14:textId="77777777" w:rsidR="00066AE6" w:rsidRPr="00066AE6" w:rsidRDefault="00066AE6" w:rsidP="005B3AD0">
            <w:pPr>
              <w:pStyle w:val="Tablehead"/>
            </w:pPr>
            <w:r w:rsidRPr="00066AE6">
              <w:t>D1</w:t>
            </w:r>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7469F71" w14:textId="77777777" w:rsidR="00066AE6" w:rsidRPr="00066AE6" w:rsidRDefault="00066AE6" w:rsidP="005B3AD0">
            <w:pPr>
              <w:pStyle w:val="Tablehead"/>
            </w:pPr>
            <w:r w:rsidRPr="00066AE6">
              <w:t>D2</w:t>
            </w:r>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B5FA0CB" w14:textId="77777777" w:rsidR="00066AE6" w:rsidRPr="00066AE6" w:rsidRDefault="00066AE6" w:rsidP="005B3AD0">
            <w:pPr>
              <w:pStyle w:val="Tablehead"/>
            </w:pPr>
            <w:r w:rsidRPr="00066AE6">
              <w:t>D3</w:t>
            </w:r>
          </w:p>
        </w:tc>
        <w:tc>
          <w:tcPr>
            <w:tcW w:w="772"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4EA87791" w14:textId="77777777" w:rsidR="00066AE6" w:rsidRPr="00066AE6" w:rsidRDefault="00066AE6" w:rsidP="005B3AD0">
            <w:pPr>
              <w:pStyle w:val="Tablehead"/>
            </w:pPr>
            <w:r w:rsidRPr="00066AE6">
              <w:t>D4</w:t>
            </w:r>
          </w:p>
        </w:tc>
      </w:tr>
      <w:tr w:rsidR="00066AE6" w:rsidRPr="00066AE6" w14:paraId="442817FA" w14:textId="77777777" w:rsidTr="005B3AD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FC3348" w14:textId="00C8573A" w:rsidR="00066AE6" w:rsidRPr="00066AE6" w:rsidRDefault="00EB7278" w:rsidP="005B3AD0">
            <w:pPr>
              <w:pStyle w:val="TableText0"/>
              <w:jc w:val="center"/>
              <w:rPr>
                <w:b/>
                <w:bCs/>
                <w:sz w:val="20"/>
              </w:rPr>
            </w:pPr>
            <m:oMathPara>
              <m:oMath>
                <m:sSub>
                  <m:sSubPr>
                    <m:ctrlPr>
                      <w:rPr>
                        <w:rFonts w:ascii="Cambria Math" w:hAnsi="Cambria Math"/>
                        <w:i/>
                        <w:sz w:val="20"/>
                        <w:lang w:eastAsia="zh-CN"/>
                      </w:rPr>
                    </m:ctrlPr>
                  </m:sSubPr>
                  <m:e>
                    <m:r>
                      <m:rPr>
                        <m:sty m:val="p"/>
                      </m:rPr>
                      <w:rPr>
                        <w:rFonts w:ascii="Cambria Math" w:hAnsi="Cambria Math"/>
                        <w:sz w:val="20"/>
                        <w:lang w:eastAsia="zh-CN"/>
                      </w:rPr>
                      <m:t>Alt</m:t>
                    </m:r>
                  </m:e>
                  <m:sub>
                    <m:r>
                      <m:rPr>
                        <m:sty m:val="p"/>
                      </m:rPr>
                      <w:rPr>
                        <w:rFonts w:ascii="Cambria Math" w:hAnsi="Cambria Math"/>
                        <w:sz w:val="20"/>
                        <w:lang w:eastAsia="zh-CN"/>
                      </w:rPr>
                      <m:t>UL</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7480216" w14:textId="77777777" w:rsidR="00066AE6" w:rsidRPr="00066AE6" w:rsidRDefault="00066AE6" w:rsidP="005B3AD0">
            <w:pPr>
              <w:pStyle w:val="TableText0"/>
              <w:jc w:val="center"/>
              <w:rPr>
                <w:b/>
                <w:bCs/>
                <w:sz w:val="20"/>
              </w:rPr>
            </w:pPr>
            <w:r w:rsidRPr="00066AE6">
              <w:rPr>
                <w:b/>
                <w:bCs/>
                <w:sz w:val="20"/>
              </w:rPr>
              <w:t>m</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6084D0EB" w14:textId="77777777" w:rsidR="00066AE6" w:rsidRPr="00066AE6" w:rsidRDefault="00066AE6" w:rsidP="005B3AD0">
            <w:pPr>
              <w:pStyle w:val="TableText0"/>
              <w:jc w:val="center"/>
              <w:rPr>
                <w:sz w:val="20"/>
              </w:rPr>
            </w:pPr>
            <w:r w:rsidRPr="00066AE6">
              <w:rPr>
                <w:sz w:val="20"/>
              </w:rPr>
              <w:t>2500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624FB9C9" w14:textId="77777777" w:rsidR="00066AE6" w:rsidRPr="00066AE6" w:rsidRDefault="00066AE6" w:rsidP="005B3AD0">
            <w:pPr>
              <w:pStyle w:val="TableText0"/>
              <w:jc w:val="center"/>
              <w:rPr>
                <w:sz w:val="20"/>
              </w:rPr>
            </w:pPr>
            <w:r w:rsidRPr="00066AE6">
              <w:rPr>
                <w:sz w:val="20"/>
              </w:rPr>
              <w:t>2438</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27973BDF" w14:textId="77777777" w:rsidR="00066AE6" w:rsidRPr="00066AE6" w:rsidRDefault="00066AE6" w:rsidP="005B3AD0">
            <w:pPr>
              <w:pStyle w:val="TableText0"/>
              <w:jc w:val="center"/>
              <w:rPr>
                <w:sz w:val="20"/>
              </w:rPr>
            </w:pPr>
            <w:r w:rsidRPr="00066AE6">
              <w:rPr>
                <w:sz w:val="20"/>
              </w:rPr>
              <w:t>6000</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6FE0AA68" w14:textId="77777777" w:rsidR="00066AE6" w:rsidRPr="00066AE6" w:rsidRDefault="00066AE6" w:rsidP="005B3AD0">
            <w:pPr>
              <w:pStyle w:val="TableText0"/>
              <w:jc w:val="center"/>
              <w:rPr>
                <w:sz w:val="20"/>
              </w:rPr>
            </w:pPr>
            <w:r w:rsidRPr="00066AE6">
              <w:rPr>
                <w:sz w:val="20"/>
              </w:rPr>
              <w:t>1524</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18F6542A" w14:textId="77777777" w:rsidR="00066AE6" w:rsidRPr="00066AE6" w:rsidRDefault="00066AE6" w:rsidP="005B3AD0">
            <w:pPr>
              <w:pStyle w:val="TableText0"/>
              <w:jc w:val="center"/>
              <w:rPr>
                <w:sz w:val="20"/>
              </w:rPr>
            </w:pPr>
            <w:r w:rsidRPr="00066AE6">
              <w:rPr>
                <w:sz w:val="20"/>
              </w:rPr>
              <w:t>1524</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3D0796D1" w14:textId="77777777" w:rsidR="00066AE6" w:rsidRPr="00066AE6" w:rsidRDefault="00066AE6" w:rsidP="005B3AD0">
            <w:pPr>
              <w:pStyle w:val="TableText0"/>
              <w:jc w:val="center"/>
              <w:rPr>
                <w:sz w:val="20"/>
              </w:rPr>
            </w:pPr>
            <w:r w:rsidRPr="00066AE6">
              <w:rPr>
                <w:sz w:val="20"/>
              </w:rPr>
              <w:t>457</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6731954F" w14:textId="77777777" w:rsidR="00066AE6" w:rsidRPr="00066AE6" w:rsidRDefault="00066AE6" w:rsidP="005B3AD0">
            <w:pPr>
              <w:pStyle w:val="TableText0"/>
              <w:jc w:val="center"/>
              <w:rPr>
                <w:sz w:val="20"/>
              </w:rPr>
            </w:pPr>
            <w:r w:rsidRPr="00066AE6">
              <w:rPr>
                <w:sz w:val="20"/>
              </w:rPr>
              <w:t>1676</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439D92E" w14:textId="77777777" w:rsidR="00066AE6" w:rsidRPr="00066AE6" w:rsidRDefault="00066AE6" w:rsidP="005B3AD0">
            <w:pPr>
              <w:pStyle w:val="TableText0"/>
              <w:jc w:val="center"/>
              <w:rPr>
                <w:sz w:val="20"/>
              </w:rPr>
            </w:pPr>
            <w:r w:rsidRPr="00066AE6">
              <w:rPr>
                <w:sz w:val="20"/>
              </w:rPr>
              <w:t>1737</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6A4D9F9C" w14:textId="77777777" w:rsidR="00066AE6" w:rsidRPr="00066AE6" w:rsidRDefault="00066AE6" w:rsidP="005B3AD0">
            <w:pPr>
              <w:pStyle w:val="TableText0"/>
              <w:jc w:val="center"/>
              <w:rPr>
                <w:sz w:val="20"/>
              </w:rPr>
            </w:pPr>
            <w:r w:rsidRPr="00066AE6">
              <w:rPr>
                <w:sz w:val="20"/>
              </w:rPr>
              <w:t>6000</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3EF12513" w14:textId="77777777" w:rsidR="00066AE6" w:rsidRPr="00066AE6" w:rsidRDefault="00066AE6" w:rsidP="005B3AD0">
            <w:pPr>
              <w:pStyle w:val="TableText0"/>
              <w:jc w:val="center"/>
              <w:rPr>
                <w:sz w:val="20"/>
              </w:rPr>
            </w:pPr>
            <w:r w:rsidRPr="00066AE6">
              <w:rPr>
                <w:sz w:val="20"/>
              </w:rPr>
              <w:t>2424</w:t>
            </w:r>
          </w:p>
        </w:tc>
      </w:tr>
      <w:tr w:rsidR="00066AE6" w:rsidRPr="00066AE6" w14:paraId="00EB33B4" w14:textId="77777777" w:rsidTr="005B3AD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2CB600" w14:textId="20C6F522" w:rsidR="00066AE6" w:rsidRPr="00066AE6" w:rsidRDefault="00EB7278" w:rsidP="005B3AD0">
            <w:pPr>
              <w:pStyle w:val="TableText0"/>
              <w:jc w:val="center"/>
              <w:rPr>
                <w:b/>
                <w:bCs/>
                <w:sz w:val="20"/>
              </w:rPr>
            </w:pPr>
            <m:oMathPara>
              <m:oMath>
                <m:sSub>
                  <m:sSubPr>
                    <m:ctrlPr>
                      <w:rPr>
                        <w:rFonts w:ascii="Cambria Math" w:hAnsi="Cambria Math"/>
                        <w:i/>
                        <w:sz w:val="20"/>
                        <w:lang w:eastAsia="zh-CN"/>
                      </w:rPr>
                    </m:ctrlPr>
                  </m:sSubPr>
                  <m:e>
                    <m:r>
                      <m:rPr>
                        <m:sty m:val="p"/>
                      </m:rPr>
                      <w:rPr>
                        <w:rFonts w:ascii="Cambria Math" w:hAnsi="Cambria Math"/>
                        <w:sz w:val="20"/>
                        <w:lang w:eastAsia="zh-CN"/>
                      </w:rPr>
                      <m:t>Alt</m:t>
                    </m:r>
                  </m:e>
                  <m:sub>
                    <m:r>
                      <m:rPr>
                        <m:sty m:val="p"/>
                      </m:rPr>
                      <w:rPr>
                        <w:rFonts w:ascii="Cambria Math" w:hAnsi="Cambria Math"/>
                        <w:sz w:val="20"/>
                        <w:lang w:eastAsia="zh-CN"/>
                      </w:rPr>
                      <m:t>O</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B4EF238" w14:textId="77777777" w:rsidR="00066AE6" w:rsidRPr="00066AE6" w:rsidRDefault="00066AE6" w:rsidP="005B3AD0">
            <w:pPr>
              <w:pStyle w:val="TableText0"/>
              <w:jc w:val="center"/>
              <w:rPr>
                <w:b/>
                <w:bCs/>
                <w:sz w:val="20"/>
              </w:rPr>
            </w:pPr>
            <w:r w:rsidRPr="00066AE6">
              <w:rPr>
                <w:b/>
                <w:bCs/>
                <w:sz w:val="20"/>
              </w:rPr>
              <w:t>km</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5EAF2E7A" w14:textId="77777777" w:rsidR="00066AE6" w:rsidRPr="00066AE6" w:rsidRDefault="00066AE6" w:rsidP="005B3AD0">
            <w:pPr>
              <w:pStyle w:val="TableText0"/>
              <w:jc w:val="center"/>
              <w:rPr>
                <w:sz w:val="20"/>
              </w:rPr>
            </w:pPr>
            <w:r w:rsidRPr="00066AE6">
              <w:rPr>
                <w:sz w:val="20"/>
              </w:rPr>
              <w:t>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0196D9E3" w14:textId="77777777" w:rsidR="00066AE6" w:rsidRPr="00066AE6" w:rsidRDefault="00066AE6" w:rsidP="005B3AD0">
            <w:pPr>
              <w:pStyle w:val="TableText0"/>
              <w:jc w:val="center"/>
              <w:rPr>
                <w:sz w:val="20"/>
              </w:rPr>
            </w:pPr>
            <w:r w:rsidRPr="00066AE6">
              <w:rPr>
                <w:sz w:val="20"/>
              </w:rPr>
              <w:t>12</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13318B98" w14:textId="77777777" w:rsidR="00066AE6" w:rsidRPr="00066AE6" w:rsidRDefault="00066AE6" w:rsidP="005B3AD0">
            <w:pPr>
              <w:pStyle w:val="TableText0"/>
              <w:jc w:val="center"/>
              <w:rPr>
                <w:sz w:val="20"/>
              </w:rPr>
            </w:pPr>
            <w:r w:rsidRPr="00066AE6">
              <w:rPr>
                <w:sz w:val="20"/>
              </w:rPr>
              <w:t>20</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6EC50D8D" w14:textId="77777777" w:rsidR="00066AE6" w:rsidRPr="00066AE6" w:rsidRDefault="00066AE6" w:rsidP="005B3AD0">
            <w:pPr>
              <w:pStyle w:val="TableText0"/>
              <w:jc w:val="center"/>
              <w:rPr>
                <w:sz w:val="20"/>
              </w:rPr>
            </w:pPr>
            <w:r w:rsidRPr="00066AE6">
              <w:rPr>
                <w:sz w:val="20"/>
              </w:rPr>
              <w:t>12</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18A5BC92" w14:textId="77777777" w:rsidR="00066AE6" w:rsidRPr="00066AE6" w:rsidRDefault="00066AE6" w:rsidP="005B3AD0">
            <w:pPr>
              <w:pStyle w:val="TableText0"/>
              <w:jc w:val="center"/>
              <w:rPr>
                <w:sz w:val="20"/>
              </w:rPr>
            </w:pPr>
            <w:r w:rsidRPr="00066AE6">
              <w:rPr>
                <w:sz w:val="20"/>
              </w:rPr>
              <w:t>12</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293FDCEC" w14:textId="77777777" w:rsidR="00066AE6" w:rsidRPr="00066AE6" w:rsidRDefault="00066AE6" w:rsidP="005B3AD0">
            <w:pPr>
              <w:pStyle w:val="TableText0"/>
              <w:jc w:val="center"/>
              <w:rPr>
                <w:sz w:val="20"/>
              </w:rPr>
            </w:pPr>
            <w:r w:rsidRPr="00066AE6">
              <w:rPr>
                <w:sz w:val="20"/>
              </w:rPr>
              <w:t>12</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120AFFD6" w14:textId="77777777" w:rsidR="00066AE6" w:rsidRPr="00066AE6" w:rsidRDefault="00066AE6" w:rsidP="005B3AD0">
            <w:pPr>
              <w:pStyle w:val="TableText0"/>
              <w:jc w:val="center"/>
              <w:rPr>
                <w:sz w:val="20"/>
              </w:rPr>
            </w:pPr>
            <w:r w:rsidRPr="00066AE6">
              <w:rPr>
                <w:sz w:val="20"/>
              </w:rPr>
              <w:t>12</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4B056DC3" w14:textId="77777777" w:rsidR="00066AE6" w:rsidRPr="00066AE6" w:rsidRDefault="00066AE6" w:rsidP="005B3AD0">
            <w:pPr>
              <w:pStyle w:val="TableText0"/>
              <w:jc w:val="center"/>
              <w:rPr>
                <w:sz w:val="20"/>
              </w:rPr>
            </w:pPr>
            <w:r w:rsidRPr="00066AE6">
              <w:rPr>
                <w:sz w:val="20"/>
              </w:rPr>
              <w:t>12</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2A50B472" w14:textId="77777777" w:rsidR="00066AE6" w:rsidRPr="00066AE6" w:rsidRDefault="00066AE6" w:rsidP="005B3AD0">
            <w:pPr>
              <w:pStyle w:val="TableText0"/>
              <w:jc w:val="center"/>
              <w:rPr>
                <w:sz w:val="20"/>
              </w:rPr>
            </w:pPr>
            <w:r w:rsidRPr="00066AE6">
              <w:rPr>
                <w:sz w:val="20"/>
              </w:rPr>
              <w:t>20</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52754C0" w14:textId="77777777" w:rsidR="00066AE6" w:rsidRPr="00066AE6" w:rsidRDefault="00066AE6" w:rsidP="005B3AD0">
            <w:pPr>
              <w:pStyle w:val="TableText0"/>
              <w:jc w:val="center"/>
              <w:rPr>
                <w:sz w:val="20"/>
              </w:rPr>
            </w:pPr>
            <w:r w:rsidRPr="00066AE6">
              <w:rPr>
                <w:sz w:val="20"/>
              </w:rPr>
              <w:t>12</w:t>
            </w:r>
          </w:p>
        </w:tc>
      </w:tr>
      <w:tr w:rsidR="00066AE6" w:rsidRPr="00066AE6" w14:paraId="6ECE55C3" w14:textId="77777777" w:rsidTr="005B3AD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C6DFD9" w14:textId="77777777" w:rsidR="00066AE6" w:rsidRPr="00066AE6" w:rsidRDefault="00EB7278" w:rsidP="005B3AD0">
            <w:pPr>
              <w:pStyle w:val="TableText0"/>
              <w:jc w:val="center"/>
              <w:rPr>
                <w:b/>
                <w:bCs/>
                <w:sz w:val="20"/>
              </w:rPr>
            </w:pPr>
            <m:oMathPara>
              <m:oMath>
                <m:sSub>
                  <m:sSubPr>
                    <m:ctrlPr>
                      <w:rPr>
                        <w:rFonts w:ascii="Cambria Math" w:hAnsi="Cambria Math"/>
                        <w:b/>
                        <w:bCs/>
                        <w:sz w:val="20"/>
                      </w:rPr>
                    </m:ctrlPr>
                  </m:sSubPr>
                  <m:e>
                    <m:r>
                      <m:rPr>
                        <m:sty m:val="bi"/>
                      </m:rPr>
                      <w:rPr>
                        <w:rFonts w:ascii="Cambria Math" w:hAnsi="Cambria Math"/>
                        <w:sz w:val="20"/>
                      </w:rPr>
                      <m:t>BW</m:t>
                    </m:r>
                  </m:e>
                  <m:sub>
                    <m:r>
                      <m:rPr>
                        <m:sty m:val="bi"/>
                      </m:rPr>
                      <w:rPr>
                        <w:rFonts w:ascii="Cambria Math" w:hAnsi="Cambria Math"/>
                        <w:sz w:val="20"/>
                      </w:rPr>
                      <m:t>IF</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0B868CD6" w14:textId="77777777" w:rsidR="00066AE6" w:rsidRPr="00066AE6" w:rsidRDefault="00066AE6" w:rsidP="005B3AD0">
            <w:pPr>
              <w:pStyle w:val="TableText0"/>
              <w:jc w:val="center"/>
              <w:rPr>
                <w:b/>
                <w:bCs/>
                <w:sz w:val="20"/>
              </w:rPr>
            </w:pPr>
            <w:r w:rsidRPr="00066AE6">
              <w:rPr>
                <w:b/>
                <w:bCs/>
                <w:sz w:val="20"/>
              </w:rPr>
              <w:t>MHz</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43D5A1AB" w14:textId="77777777" w:rsidR="00066AE6" w:rsidRPr="00066AE6" w:rsidRDefault="00066AE6" w:rsidP="005B3AD0">
            <w:pPr>
              <w:pStyle w:val="TableText0"/>
              <w:jc w:val="center"/>
              <w:rPr>
                <w:sz w:val="20"/>
              </w:rPr>
            </w:pPr>
            <w:r w:rsidRPr="00066AE6">
              <w:rPr>
                <w:sz w:val="20"/>
              </w:rPr>
              <w:t>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75A7F23D" w14:textId="77777777" w:rsidR="00066AE6" w:rsidRPr="00066AE6" w:rsidRDefault="00066AE6" w:rsidP="005B3AD0">
            <w:pPr>
              <w:pStyle w:val="TableText0"/>
              <w:jc w:val="center"/>
              <w:rPr>
                <w:sz w:val="20"/>
              </w:rPr>
            </w:pPr>
            <w:r w:rsidRPr="00066AE6">
              <w:rPr>
                <w:sz w:val="20"/>
              </w:rPr>
              <w:t>0.25</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4704F530" w14:textId="77777777" w:rsidR="00066AE6" w:rsidRPr="00066AE6" w:rsidRDefault="00066AE6" w:rsidP="005B3AD0">
            <w:pPr>
              <w:pStyle w:val="TableText0"/>
              <w:jc w:val="center"/>
              <w:rPr>
                <w:sz w:val="20"/>
              </w:rPr>
            </w:pPr>
            <w:r w:rsidRPr="00066AE6">
              <w:rPr>
                <w:sz w:val="20"/>
              </w:rPr>
              <w:t>2</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243F02FD" w14:textId="77777777" w:rsidR="00066AE6" w:rsidRPr="00066AE6" w:rsidRDefault="00066AE6" w:rsidP="005B3AD0">
            <w:pPr>
              <w:pStyle w:val="TableText0"/>
              <w:jc w:val="center"/>
              <w:rPr>
                <w:sz w:val="20"/>
              </w:rPr>
            </w:pPr>
            <w:r w:rsidRPr="00066AE6">
              <w:rPr>
                <w:sz w:val="20"/>
              </w:rPr>
              <w:t>9.2</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20626181" w14:textId="77777777" w:rsidR="00066AE6" w:rsidRPr="00066AE6" w:rsidRDefault="00066AE6" w:rsidP="005B3AD0">
            <w:pPr>
              <w:pStyle w:val="TableText0"/>
              <w:jc w:val="center"/>
              <w:rPr>
                <w:sz w:val="20"/>
              </w:rPr>
            </w:pPr>
            <w:r w:rsidRPr="00066AE6">
              <w:rPr>
                <w:sz w:val="20"/>
              </w:rPr>
              <w:t>6</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7943512D" w14:textId="77777777" w:rsidR="00066AE6" w:rsidRPr="00066AE6" w:rsidRDefault="00066AE6" w:rsidP="005B3AD0">
            <w:pPr>
              <w:pStyle w:val="TableText0"/>
              <w:jc w:val="center"/>
              <w:rPr>
                <w:sz w:val="20"/>
              </w:rPr>
            </w:pPr>
            <w:r w:rsidRPr="00066AE6">
              <w:rPr>
                <w:sz w:val="20"/>
              </w:rPr>
              <w:t>16</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268E17D8" w14:textId="77777777" w:rsidR="00066AE6" w:rsidRPr="00066AE6" w:rsidRDefault="00066AE6" w:rsidP="005B3AD0">
            <w:pPr>
              <w:pStyle w:val="TableText0"/>
              <w:jc w:val="center"/>
              <w:rPr>
                <w:sz w:val="20"/>
              </w:rPr>
            </w:pPr>
            <w:r w:rsidRPr="00066AE6">
              <w:rPr>
                <w:sz w:val="20"/>
              </w:rPr>
              <w:t>0.312</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343593E9" w14:textId="77777777" w:rsidR="00066AE6" w:rsidRPr="00066AE6" w:rsidRDefault="00066AE6" w:rsidP="005B3AD0">
            <w:pPr>
              <w:pStyle w:val="TableText0"/>
              <w:jc w:val="center"/>
              <w:rPr>
                <w:sz w:val="20"/>
              </w:rPr>
            </w:pPr>
            <w:r w:rsidRPr="00066AE6">
              <w:rPr>
                <w:sz w:val="20"/>
              </w:rPr>
              <w:t>1.95</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06780E57" w14:textId="77777777" w:rsidR="00066AE6" w:rsidRPr="00066AE6" w:rsidRDefault="00066AE6" w:rsidP="005B3AD0">
            <w:pPr>
              <w:pStyle w:val="TableText0"/>
              <w:jc w:val="center"/>
              <w:rPr>
                <w:sz w:val="20"/>
              </w:rPr>
            </w:pPr>
            <w:r w:rsidRPr="00066AE6">
              <w:rPr>
                <w:sz w:val="20"/>
              </w:rPr>
              <w:t>2</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46CAD807" w14:textId="77777777" w:rsidR="00066AE6" w:rsidRPr="00066AE6" w:rsidRDefault="00066AE6" w:rsidP="005B3AD0">
            <w:pPr>
              <w:pStyle w:val="TableText0"/>
              <w:jc w:val="center"/>
              <w:rPr>
                <w:sz w:val="20"/>
              </w:rPr>
            </w:pPr>
            <w:r w:rsidRPr="00066AE6">
              <w:rPr>
                <w:sz w:val="20"/>
              </w:rPr>
              <w:t>30</w:t>
            </w:r>
          </w:p>
        </w:tc>
      </w:tr>
      <w:tr w:rsidR="00066AE6" w:rsidRPr="00066AE6" w14:paraId="46A9D4F4" w14:textId="77777777" w:rsidTr="005B3AD0">
        <w:trPr>
          <w:trHeight w:val="432"/>
          <w:tblHeader/>
          <w:jc w:val="center"/>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BD1624" w14:textId="77777777" w:rsidR="00066AE6" w:rsidRPr="00066AE6" w:rsidRDefault="00EB7278" w:rsidP="005B3AD0">
            <w:pPr>
              <w:pStyle w:val="TableText0"/>
              <w:jc w:val="center"/>
              <w:rPr>
                <w:b/>
                <w:bCs/>
                <w:sz w:val="20"/>
              </w:rPr>
            </w:pPr>
            <m:oMathPara>
              <m:oMath>
                <m:sSub>
                  <m:sSubPr>
                    <m:ctrlPr>
                      <w:rPr>
                        <w:rFonts w:ascii="Cambria Math" w:hAnsi="Cambria Math"/>
                        <w:b/>
                        <w:bCs/>
                        <w:sz w:val="20"/>
                      </w:rPr>
                    </m:ctrlPr>
                  </m:sSubPr>
                  <m:e>
                    <m:r>
                      <m:rPr>
                        <m:sty m:val="bi"/>
                      </m:rPr>
                      <w:rPr>
                        <w:rFonts w:ascii="Cambria Math" w:hAnsi="Cambria Math"/>
                        <w:sz w:val="20"/>
                      </w:rPr>
                      <m:t>N</m:t>
                    </m:r>
                  </m:e>
                  <m:sub>
                    <m:r>
                      <m:rPr>
                        <m:sty m:val="bi"/>
                      </m:rPr>
                      <w:rPr>
                        <w:rFonts w:ascii="Cambria Math" w:hAnsi="Cambria Math"/>
                        <w:sz w:val="20"/>
                      </w:rPr>
                      <m:t>F</m:t>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7D077077" w14:textId="77777777" w:rsidR="00066AE6" w:rsidRPr="00066AE6" w:rsidRDefault="00066AE6" w:rsidP="005B3AD0">
            <w:pPr>
              <w:pStyle w:val="TableText0"/>
              <w:jc w:val="center"/>
              <w:rPr>
                <w:b/>
                <w:bCs/>
                <w:sz w:val="20"/>
              </w:rPr>
            </w:pPr>
            <w:r w:rsidRPr="00066AE6">
              <w:rPr>
                <w:b/>
                <w:bCs/>
                <w:sz w:val="20"/>
              </w:rPr>
              <w:t>dB</w:t>
            </w:r>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21727C25" w14:textId="77777777" w:rsidR="00066AE6" w:rsidRPr="00066AE6" w:rsidRDefault="00066AE6" w:rsidP="005B3AD0">
            <w:pPr>
              <w:pStyle w:val="TableText0"/>
              <w:jc w:val="center"/>
              <w:rPr>
                <w:sz w:val="20"/>
              </w:rPr>
            </w:pPr>
            <w:r w:rsidRPr="00066AE6">
              <w:rPr>
                <w:sz w:val="20"/>
              </w:rPr>
              <w:t>10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4011551C" w14:textId="77777777" w:rsidR="00066AE6" w:rsidRPr="00066AE6" w:rsidRDefault="00066AE6" w:rsidP="005B3AD0">
            <w:pPr>
              <w:pStyle w:val="TableText0"/>
              <w:jc w:val="center"/>
              <w:rPr>
                <w:sz w:val="20"/>
              </w:rPr>
            </w:pPr>
            <w:r w:rsidRPr="00066AE6">
              <w:rPr>
                <w:sz w:val="20"/>
              </w:rPr>
              <w:t>6</w:t>
            </w:r>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73FAD974" w14:textId="77777777" w:rsidR="00066AE6" w:rsidRPr="00066AE6" w:rsidRDefault="00066AE6" w:rsidP="005B3AD0">
            <w:pPr>
              <w:pStyle w:val="TableText0"/>
              <w:jc w:val="center"/>
              <w:rPr>
                <w:sz w:val="20"/>
              </w:rPr>
            </w:pPr>
            <w:r w:rsidRPr="00066AE6">
              <w:rPr>
                <w:sz w:val="20"/>
              </w:rPr>
              <w:t>6</w:t>
            </w:r>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79751F83" w14:textId="77777777" w:rsidR="00066AE6" w:rsidRPr="00066AE6" w:rsidRDefault="00066AE6" w:rsidP="005B3AD0">
            <w:pPr>
              <w:pStyle w:val="TableText0"/>
              <w:jc w:val="center"/>
              <w:rPr>
                <w:sz w:val="20"/>
              </w:rPr>
            </w:pPr>
            <w:r w:rsidRPr="00066AE6">
              <w:rPr>
                <w:sz w:val="20"/>
              </w:rPr>
              <w:t>10</w:t>
            </w:r>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1D46E5D8" w14:textId="77777777" w:rsidR="00066AE6" w:rsidRPr="00066AE6" w:rsidRDefault="00066AE6" w:rsidP="005B3AD0">
            <w:pPr>
              <w:pStyle w:val="TableText0"/>
              <w:jc w:val="center"/>
              <w:rPr>
                <w:sz w:val="20"/>
              </w:rPr>
            </w:pPr>
            <w:r w:rsidRPr="00066AE6">
              <w:rPr>
                <w:sz w:val="20"/>
              </w:rPr>
              <w:t>10</w:t>
            </w:r>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43EC4FAF" w14:textId="77777777" w:rsidR="00066AE6" w:rsidRPr="00066AE6" w:rsidRDefault="00066AE6" w:rsidP="005B3AD0">
            <w:pPr>
              <w:pStyle w:val="TableText0"/>
              <w:jc w:val="center"/>
              <w:rPr>
                <w:sz w:val="20"/>
              </w:rPr>
            </w:pPr>
            <w:r w:rsidRPr="00066AE6">
              <w:rPr>
                <w:sz w:val="20"/>
              </w:rPr>
              <w:t>10</w:t>
            </w:r>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5BB9B999" w14:textId="77777777" w:rsidR="00066AE6" w:rsidRPr="00066AE6" w:rsidRDefault="00066AE6" w:rsidP="005B3AD0">
            <w:pPr>
              <w:pStyle w:val="TableText0"/>
              <w:jc w:val="center"/>
              <w:rPr>
                <w:sz w:val="20"/>
              </w:rPr>
            </w:pPr>
            <w:r w:rsidRPr="00066AE6">
              <w:rPr>
                <w:sz w:val="20"/>
              </w:rPr>
              <w:t>8</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F12184A" w14:textId="77777777" w:rsidR="00066AE6" w:rsidRPr="00066AE6" w:rsidRDefault="00066AE6" w:rsidP="005B3AD0">
            <w:pPr>
              <w:pStyle w:val="TableText0"/>
              <w:jc w:val="center"/>
              <w:rPr>
                <w:sz w:val="20"/>
              </w:rPr>
            </w:pPr>
            <w:r w:rsidRPr="00066AE6">
              <w:rPr>
                <w:sz w:val="20"/>
              </w:rPr>
              <w:t>9</w:t>
            </w:r>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43ADCCB" w14:textId="77777777" w:rsidR="00066AE6" w:rsidRPr="00066AE6" w:rsidRDefault="00066AE6" w:rsidP="005B3AD0">
            <w:pPr>
              <w:pStyle w:val="TableText0"/>
              <w:jc w:val="center"/>
              <w:rPr>
                <w:sz w:val="20"/>
              </w:rPr>
            </w:pPr>
            <w:r w:rsidRPr="00066AE6">
              <w:rPr>
                <w:sz w:val="20"/>
              </w:rPr>
              <w:t>8</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11355927" w14:textId="77777777" w:rsidR="00066AE6" w:rsidRPr="00066AE6" w:rsidRDefault="00066AE6" w:rsidP="005B3AD0">
            <w:pPr>
              <w:pStyle w:val="TableText0"/>
              <w:jc w:val="center"/>
              <w:rPr>
                <w:sz w:val="20"/>
              </w:rPr>
            </w:pPr>
            <w:r w:rsidRPr="00066AE6">
              <w:rPr>
                <w:sz w:val="20"/>
              </w:rPr>
              <w:t>10</w:t>
            </w:r>
          </w:p>
        </w:tc>
      </w:tr>
      <w:tr w:rsidR="00066AE6" w:rsidRPr="00407CA9" w14:paraId="474B0B94" w14:textId="77777777" w:rsidTr="005B3AD0">
        <w:trPr>
          <w:trHeight w:val="432"/>
          <w:tblHeader/>
          <w:jc w:val="center"/>
        </w:trPr>
        <w:tc>
          <w:tcPr>
            <w:tcW w:w="17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5B7FC9" w14:textId="77777777" w:rsidR="00066AE6" w:rsidRPr="00066AE6" w:rsidRDefault="00EB7278" w:rsidP="005B3AD0">
            <w:pPr>
              <w:pStyle w:val="TableText0"/>
              <w:jc w:val="center"/>
              <w:rPr>
                <w:b/>
                <w:bCs/>
                <w:sz w:val="20"/>
              </w:rPr>
            </w:pPr>
            <m:oMath>
              <m:sSub>
                <m:sSubPr>
                  <m:ctrlPr>
                    <w:rPr>
                      <w:rFonts w:ascii="Cambria Math" w:hAnsi="Cambria Math"/>
                      <w:b/>
                      <w:bCs/>
                      <w:sz w:val="20"/>
                    </w:rPr>
                  </m:ctrlPr>
                </m:sSubPr>
                <m:e>
                  <m:r>
                    <m:rPr>
                      <m:sty m:val="bi"/>
                    </m:rPr>
                    <w:rPr>
                      <w:rFonts w:ascii="Cambria Math" w:hAnsi="Cambria Math"/>
                      <w:sz w:val="20"/>
                    </w:rPr>
                    <m:t>BW</m:t>
                  </m:r>
                </m:e>
                <m:sub>
                  <m:r>
                    <m:rPr>
                      <m:sty m:val="bi"/>
                    </m:rPr>
                    <w:rPr>
                      <w:rFonts w:ascii="Cambria Math" w:hAnsi="Cambria Math"/>
                      <w:sz w:val="20"/>
                    </w:rPr>
                    <m:t>C</m:t>
                  </m:r>
                </m:sub>
              </m:sSub>
            </m:oMath>
            <w:r w:rsidR="00066AE6" w:rsidRPr="00066AE6">
              <w:rPr>
                <w:b/>
                <w:bCs/>
                <w:sz w:val="20"/>
                <w:vertAlign w:val="superscript"/>
              </w:rPr>
              <w:t>(Note 1)</w:t>
            </w:r>
          </w:p>
        </w:tc>
        <w:tc>
          <w:tcPr>
            <w:tcW w:w="12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D42387B" w14:textId="77777777" w:rsidR="00066AE6" w:rsidRPr="00066AE6" w:rsidRDefault="00066AE6" w:rsidP="005B3AD0">
            <w:pPr>
              <w:pStyle w:val="TableText0"/>
              <w:jc w:val="center"/>
              <w:rPr>
                <w:b/>
                <w:bCs/>
                <w:sz w:val="20"/>
              </w:rPr>
            </w:pPr>
            <w:r w:rsidRPr="00066AE6">
              <w:rPr>
                <w:b/>
                <w:bCs/>
                <w:sz w:val="20"/>
              </w:rPr>
              <w:t>MHz</w:t>
            </w:r>
          </w:p>
        </w:tc>
        <w:tc>
          <w:tcPr>
            <w:tcW w:w="7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07DA744" w14:textId="77777777" w:rsidR="00066AE6" w:rsidRPr="00066AE6" w:rsidRDefault="00066AE6" w:rsidP="005B3AD0">
            <w:pPr>
              <w:pStyle w:val="TableText0"/>
              <w:jc w:val="center"/>
              <w:rPr>
                <w:sz w:val="20"/>
              </w:rPr>
            </w:pPr>
            <w:r w:rsidRPr="00066AE6">
              <w:rPr>
                <w:sz w:val="20"/>
              </w:rPr>
              <w:t>104</w:t>
            </w:r>
          </w:p>
        </w:tc>
        <w:tc>
          <w:tcPr>
            <w:tcW w:w="7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86BAB5" w14:textId="77777777" w:rsidR="00066AE6" w:rsidRPr="00066AE6" w:rsidRDefault="00066AE6" w:rsidP="005B3AD0">
            <w:pPr>
              <w:pStyle w:val="TableText0"/>
              <w:jc w:val="center"/>
              <w:rPr>
                <w:sz w:val="20"/>
              </w:rPr>
            </w:pPr>
            <w:r w:rsidRPr="00066AE6">
              <w:rPr>
                <w:sz w:val="20"/>
              </w:rPr>
              <w:t>132.8</w:t>
            </w:r>
          </w:p>
        </w:tc>
        <w:tc>
          <w:tcPr>
            <w:tcW w:w="6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B5BE3E" w14:textId="77777777" w:rsidR="00066AE6" w:rsidRPr="00066AE6" w:rsidRDefault="00066AE6" w:rsidP="005B3AD0">
            <w:pPr>
              <w:pStyle w:val="TableText0"/>
              <w:jc w:val="center"/>
              <w:rPr>
                <w:sz w:val="20"/>
              </w:rPr>
            </w:pPr>
            <w:r w:rsidRPr="00066AE6">
              <w:rPr>
                <w:sz w:val="20"/>
              </w:rPr>
              <w:t>133</w:t>
            </w:r>
          </w:p>
        </w:tc>
        <w:tc>
          <w:tcPr>
            <w:tcW w:w="820" w:type="dxa"/>
            <w:tcBorders>
              <w:top w:val="single" w:sz="4" w:space="0" w:color="auto"/>
              <w:left w:val="nil"/>
              <w:bottom w:val="single" w:sz="4" w:space="0" w:color="auto"/>
              <w:right w:val="single" w:sz="4" w:space="0" w:color="auto"/>
            </w:tcBorders>
            <w:shd w:val="clear" w:color="auto" w:fill="FFFFFF" w:themeFill="background1"/>
            <w:noWrap/>
            <w:vAlign w:val="center"/>
          </w:tcPr>
          <w:p w14:paraId="4D50408A" w14:textId="77777777" w:rsidR="00066AE6" w:rsidRPr="00066AE6" w:rsidRDefault="00066AE6" w:rsidP="005B3AD0">
            <w:pPr>
              <w:pStyle w:val="TableText0"/>
              <w:jc w:val="center"/>
              <w:rPr>
                <w:sz w:val="20"/>
              </w:rPr>
            </w:pPr>
          </w:p>
        </w:tc>
        <w:tc>
          <w:tcPr>
            <w:tcW w:w="802" w:type="dxa"/>
            <w:tcBorders>
              <w:top w:val="single" w:sz="4" w:space="0" w:color="auto"/>
              <w:left w:val="nil"/>
              <w:bottom w:val="single" w:sz="4" w:space="0" w:color="auto"/>
              <w:right w:val="single" w:sz="4" w:space="0" w:color="auto"/>
            </w:tcBorders>
            <w:shd w:val="clear" w:color="auto" w:fill="FFFFFF" w:themeFill="background1"/>
            <w:noWrap/>
            <w:vAlign w:val="center"/>
          </w:tcPr>
          <w:p w14:paraId="1AC8DD41" w14:textId="77777777" w:rsidR="00066AE6" w:rsidRPr="00066AE6" w:rsidRDefault="00066AE6" w:rsidP="005B3AD0">
            <w:pPr>
              <w:pStyle w:val="TableText0"/>
              <w:jc w:val="center"/>
              <w:rPr>
                <w:sz w:val="20"/>
              </w:rPr>
            </w:pPr>
          </w:p>
        </w:tc>
        <w:tc>
          <w:tcPr>
            <w:tcW w:w="788" w:type="dxa"/>
            <w:tcBorders>
              <w:top w:val="single" w:sz="4" w:space="0" w:color="auto"/>
              <w:left w:val="nil"/>
              <w:bottom w:val="single" w:sz="4" w:space="0" w:color="auto"/>
              <w:right w:val="single" w:sz="4" w:space="0" w:color="auto"/>
            </w:tcBorders>
            <w:shd w:val="clear" w:color="auto" w:fill="FFFFFF" w:themeFill="background1"/>
            <w:noWrap/>
            <w:vAlign w:val="center"/>
          </w:tcPr>
          <w:p w14:paraId="26DCC867" w14:textId="77777777" w:rsidR="00066AE6" w:rsidRPr="00066AE6" w:rsidRDefault="00066AE6" w:rsidP="005B3AD0">
            <w:pPr>
              <w:pStyle w:val="TableText0"/>
              <w:jc w:val="center"/>
              <w:rPr>
                <w:sz w:val="20"/>
              </w:rPr>
            </w:pPr>
          </w:p>
        </w:tc>
        <w:tc>
          <w:tcPr>
            <w:tcW w:w="7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00DD53" w14:textId="77777777" w:rsidR="00066AE6" w:rsidRPr="00066AE6" w:rsidRDefault="00066AE6" w:rsidP="005B3AD0">
            <w:pPr>
              <w:pStyle w:val="TableText0"/>
              <w:jc w:val="center"/>
              <w:rPr>
                <w:sz w:val="20"/>
              </w:rPr>
            </w:pPr>
            <w:r w:rsidRPr="00066AE6">
              <w:rPr>
                <w:sz w:val="20"/>
              </w:rPr>
              <w:t>150</w:t>
            </w:r>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F37A50C" w14:textId="77777777" w:rsidR="00066AE6" w:rsidRPr="00066AE6" w:rsidRDefault="00066AE6" w:rsidP="005B3AD0">
            <w:pPr>
              <w:pStyle w:val="TableText0"/>
              <w:jc w:val="center"/>
              <w:rPr>
                <w:sz w:val="20"/>
              </w:rPr>
            </w:pPr>
            <w:r w:rsidRPr="00066AE6">
              <w:rPr>
                <w:sz w:val="20"/>
              </w:rPr>
              <w:t>176.8</w:t>
            </w:r>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4C3ACC6" w14:textId="77777777" w:rsidR="00066AE6" w:rsidRPr="00407CA9" w:rsidRDefault="00066AE6" w:rsidP="005B3AD0">
            <w:pPr>
              <w:pStyle w:val="TableText0"/>
              <w:jc w:val="center"/>
              <w:rPr>
                <w:sz w:val="20"/>
              </w:rPr>
            </w:pPr>
            <w:r w:rsidRPr="00066AE6">
              <w:rPr>
                <w:sz w:val="20"/>
              </w:rPr>
              <w:t>133</w:t>
            </w:r>
          </w:p>
        </w:tc>
        <w:tc>
          <w:tcPr>
            <w:tcW w:w="772" w:type="dxa"/>
            <w:tcBorders>
              <w:top w:val="single" w:sz="4" w:space="0" w:color="auto"/>
              <w:left w:val="nil"/>
              <w:bottom w:val="single" w:sz="4" w:space="0" w:color="auto"/>
              <w:right w:val="single" w:sz="4" w:space="0" w:color="auto"/>
            </w:tcBorders>
            <w:shd w:val="clear" w:color="auto" w:fill="FFFFFF" w:themeFill="background1"/>
            <w:noWrap/>
            <w:vAlign w:val="center"/>
          </w:tcPr>
          <w:p w14:paraId="11C82BF5" w14:textId="77777777" w:rsidR="00066AE6" w:rsidRPr="00407CA9" w:rsidRDefault="00066AE6" w:rsidP="005B3AD0">
            <w:pPr>
              <w:pStyle w:val="TableText0"/>
              <w:jc w:val="center"/>
              <w:rPr>
                <w:sz w:val="20"/>
              </w:rPr>
            </w:pPr>
          </w:p>
        </w:tc>
      </w:tr>
      <w:tr w:rsidR="00066AE6" w:rsidRPr="00407CA9" w14:paraId="23190BE2" w14:textId="77777777" w:rsidTr="00C468BC">
        <w:trPr>
          <w:trHeight w:val="432"/>
          <w:tblHeader/>
          <w:jc w:val="center"/>
        </w:trPr>
        <w:tc>
          <w:tcPr>
            <w:tcW w:w="10650"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692763" w14:textId="4BA76615" w:rsidR="00066AE6" w:rsidRPr="00407CA9" w:rsidRDefault="00066AE6" w:rsidP="00066AE6">
            <w:pPr>
              <w:pStyle w:val="TableText0"/>
              <w:rPr>
                <w:sz w:val="20"/>
              </w:rPr>
            </w:pPr>
            <w:r w:rsidRPr="00407CA9">
              <w:rPr>
                <w:sz w:val="20"/>
              </w:rPr>
              <w:t xml:space="preserve">Note 1: Models with a listed </w:t>
            </w:r>
            <m:oMath>
              <m:sSub>
                <m:sSubPr>
                  <m:ctrlPr>
                    <w:rPr>
                      <w:rFonts w:ascii="Cambria Math" w:hAnsi="Cambria Math"/>
                      <w:sz w:val="20"/>
                    </w:rPr>
                  </m:ctrlPr>
                </m:sSubPr>
                <m:e>
                  <m:r>
                    <w:rPr>
                      <w:rFonts w:ascii="Cambria Math" w:hAnsi="Cambria Math"/>
                      <w:sz w:val="20"/>
                    </w:rPr>
                    <m:t>BW</m:t>
                  </m:r>
                </m:e>
                <m:sub>
                  <m:r>
                    <w:rPr>
                      <w:rFonts w:ascii="Cambria Math" w:hAnsi="Cambria Math"/>
                      <w:sz w:val="20"/>
                    </w:rPr>
                    <m:t>C</m:t>
                  </m:r>
                </m:sub>
              </m:sSub>
              <m:r>
                <w:rPr>
                  <w:rFonts w:ascii="Cambria Math" w:hAnsi="Cambria Math"/>
                  <w:sz w:val="20"/>
                </w:rPr>
                <m:t xml:space="preserve"> </m:t>
              </m:r>
            </m:oMath>
            <w:r w:rsidRPr="00407CA9">
              <w:rPr>
                <w:sz w:val="20"/>
              </w:rPr>
              <w:t>are FMCW radio altimeters, and models without are pulsed radio altimeters</w:t>
            </w:r>
          </w:p>
        </w:tc>
      </w:tr>
    </w:tbl>
    <w:p w14:paraId="1B418BC5" w14:textId="77777777" w:rsidR="00066AE6" w:rsidRDefault="00066AE6" w:rsidP="00D90376">
      <w:pPr>
        <w:pStyle w:val="Equation"/>
        <w:tabs>
          <w:tab w:val="clear" w:pos="4820"/>
          <w:tab w:val="clear" w:pos="9639"/>
        </w:tabs>
        <w:rPr>
          <w:szCs w:val="24"/>
        </w:rPr>
      </w:pPr>
    </w:p>
    <w:p w14:paraId="698A45C3" w14:textId="29111EBB" w:rsidR="00D90376" w:rsidRDefault="009A55C6" w:rsidP="00D90376">
      <w:pPr>
        <w:pStyle w:val="Equation"/>
        <w:tabs>
          <w:tab w:val="clear" w:pos="4820"/>
          <w:tab w:val="clear" w:pos="9639"/>
        </w:tabs>
        <w:rPr>
          <w:szCs w:val="24"/>
        </w:rPr>
      </w:pPr>
      <w:r>
        <w:rPr>
          <w:szCs w:val="24"/>
        </w:rPr>
        <w:t xml:space="preserve">The following figure plots the </w:t>
      </w: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RxPort</m:t>
            </m:r>
          </m:sub>
        </m:sSub>
        <m:d>
          <m:dPr>
            <m:ctrlPr>
              <w:rPr>
                <w:rFonts w:ascii="Cambria Math" w:hAnsi="Cambria Math"/>
                <w:i/>
                <w:szCs w:val="24"/>
              </w:rPr>
            </m:ctrlPr>
          </m:dPr>
          <m:e>
            <m:r>
              <w:rPr>
                <w:rFonts w:ascii="Cambria Math" w:hAnsi="Cambria Math"/>
                <w:szCs w:val="24"/>
              </w:rPr>
              <m:t>Alt</m:t>
            </m:r>
          </m:e>
        </m:d>
      </m:oMath>
      <w:r w:rsidR="00066AE6">
        <w:rPr>
          <w:szCs w:val="24"/>
        </w:rPr>
        <w:t xml:space="preserve"> assuming an </w:t>
      </w:r>
      <m:oMath>
        <m:r>
          <w:rPr>
            <w:rFonts w:ascii="Cambria Math" w:hAnsi="Cambria Math"/>
            <w:szCs w:val="24"/>
          </w:rPr>
          <m:t>IRI</m:t>
        </m:r>
      </m:oMath>
      <w:r w:rsidR="00066AE6">
        <w:rPr>
          <w:szCs w:val="24"/>
        </w:rPr>
        <w:t xml:space="preserve"> of 20</w:t>
      </w:r>
      <w:r>
        <w:rPr>
          <w:szCs w:val="24"/>
        </w:rPr>
        <w:t>.</w:t>
      </w:r>
    </w:p>
    <w:p w14:paraId="70090ABC" w14:textId="13605B9B" w:rsidR="00066AE6" w:rsidRDefault="00066AE6" w:rsidP="009A55C6">
      <w:pPr>
        <w:spacing w:after="120"/>
        <w:textAlignment w:val="auto"/>
        <w:rPr>
          <w:color w:val="000000"/>
        </w:rPr>
      </w:pPr>
      <w:r>
        <w:rPr>
          <w:noProof/>
          <w:color w:val="000000"/>
        </w:rPr>
        <w:lastRenderedPageBreak/>
        <w:drawing>
          <wp:inline distT="0" distB="0" distL="0" distR="0" wp14:anchorId="4F51DEA6" wp14:editId="30714A8E">
            <wp:extent cx="5943600" cy="2922381"/>
            <wp:effectExtent l="19050" t="19050" r="19050" b="11430"/>
            <wp:docPr id="1192552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22381"/>
                    </a:xfrm>
                    <a:prstGeom prst="rect">
                      <a:avLst/>
                    </a:prstGeom>
                    <a:noFill/>
                    <a:ln>
                      <a:solidFill>
                        <a:schemeClr val="tx1"/>
                      </a:solidFill>
                    </a:ln>
                  </pic:spPr>
                </pic:pic>
              </a:graphicData>
            </a:graphic>
          </wp:inline>
        </w:drawing>
      </w:r>
    </w:p>
    <w:p w14:paraId="48FCC4EB" w14:textId="77777777" w:rsidR="009A55C6" w:rsidRDefault="009A55C6" w:rsidP="00F33736">
      <w:pPr>
        <w:textAlignment w:val="auto"/>
        <w:rPr>
          <w:color w:val="000000"/>
        </w:rPr>
      </w:pPr>
    </w:p>
    <w:p w14:paraId="02EB1895" w14:textId="10D4A64E" w:rsidR="00F33736" w:rsidRDefault="00BF17A1" w:rsidP="00F33736">
      <w:pPr>
        <w:textAlignment w:val="auto"/>
      </w:pPr>
      <w:r>
        <w:rPr>
          <w:color w:val="000000"/>
        </w:rPr>
        <w:t>Finally, WP</w:t>
      </w:r>
      <w:r w:rsidR="00F33736" w:rsidRPr="00F33736">
        <w:t xml:space="preserve"> 5B requests to be kept informed on the progress of the studies under WRC-27 agenda item 1.</w:t>
      </w:r>
      <w:r w:rsidR="00967E26">
        <w:t>7.</w:t>
      </w:r>
    </w:p>
    <w:p w14:paraId="3AD7CF1C" w14:textId="77777777" w:rsidR="00066AE6" w:rsidRDefault="00066AE6" w:rsidP="00F33736">
      <w:pPr>
        <w:textAlignment w:val="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44E45BBD" w14:textId="0F5563F5" w:rsidR="00E24935" w:rsidRDefault="00F33736" w:rsidP="00066AE6">
      <w:pPr>
        <w:spacing w:before="480"/>
        <w:jc w:val="center"/>
        <w:textAlignment w:val="auto"/>
      </w:pPr>
      <w:r w:rsidRPr="00F33736">
        <w:t>______________</w:t>
      </w:r>
    </w:p>
    <w:sectPr w:rsidR="00E24935" w:rsidSect="00190ED8">
      <w:footerReference w:type="default" r:id="rId17"/>
      <w:headerReference w:type="first" r:id="rId18"/>
      <w:footerReference w:type="first" r:id="rId19"/>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32EC" w14:textId="77777777" w:rsidR="00EB7278" w:rsidRDefault="00EB7278">
      <w:pPr>
        <w:spacing w:before="0"/>
      </w:pPr>
      <w:r>
        <w:separator/>
      </w:r>
    </w:p>
  </w:endnote>
  <w:endnote w:type="continuationSeparator" w:id="0">
    <w:p w14:paraId="3FE1FF63" w14:textId="77777777" w:rsidR="00EB7278" w:rsidRDefault="00EB7278">
      <w:pPr>
        <w:spacing w:before="0"/>
      </w:pPr>
      <w:r>
        <w:continuationSeparator/>
      </w:r>
    </w:p>
  </w:endnote>
  <w:endnote w:type="continuationNotice" w:id="1">
    <w:p w14:paraId="546C890C" w14:textId="77777777" w:rsidR="00EB7278" w:rsidRDefault="00EB72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13" w:name="TITUS1FooterPrimary"/>
    <w:r w:rsidRPr="008D365B">
      <w:rPr>
        <w:color w:val="000000"/>
        <w:sz w:val="17"/>
      </w:rPr>
      <w:t>  </w:t>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14" w:name="TITUS1FooterFirstPage"/>
    <w:r w:rsidRPr="008D365B">
      <w:rPr>
        <w:color w:val="000000"/>
        <w:sz w:val="17"/>
      </w:rPr>
      <w:t>  </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5866" w14:textId="77777777" w:rsidR="00EB7278" w:rsidRDefault="00EB7278">
      <w:pPr>
        <w:spacing w:before="0"/>
      </w:pPr>
      <w:r>
        <w:separator/>
      </w:r>
    </w:p>
  </w:footnote>
  <w:footnote w:type="continuationSeparator" w:id="0">
    <w:p w14:paraId="21F48EA8" w14:textId="77777777" w:rsidR="00EB7278" w:rsidRDefault="00EB7278">
      <w:pPr>
        <w:spacing w:before="0"/>
      </w:pPr>
      <w:r>
        <w:continuationSeparator/>
      </w:r>
    </w:p>
  </w:footnote>
  <w:footnote w:type="continuationNotice" w:id="1">
    <w:p w14:paraId="43CA738C" w14:textId="77777777" w:rsidR="00EB7278" w:rsidRDefault="00EB727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185E21"/>
    <w:multiLevelType w:val="hybridMultilevel"/>
    <w:tmpl w:val="D7C42756"/>
    <w:lvl w:ilvl="0" w:tplc="7884C908">
      <w:start w:val="1"/>
      <w:numFmt w:val="decimal"/>
      <w:lvlText w:val="%1"/>
      <w:lvlJc w:val="left"/>
      <w:pPr>
        <w:ind w:left="1493" w:hanging="11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5"/>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7"/>
  </w:num>
  <w:num w:numId="8" w16cid:durableId="2019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41AD"/>
    <w:rsid w:val="00024699"/>
    <w:rsid w:val="00024C6A"/>
    <w:rsid w:val="0002647D"/>
    <w:rsid w:val="00026A91"/>
    <w:rsid w:val="0002789D"/>
    <w:rsid w:val="00027A39"/>
    <w:rsid w:val="00027ED3"/>
    <w:rsid w:val="000311C3"/>
    <w:rsid w:val="00033C12"/>
    <w:rsid w:val="0003444E"/>
    <w:rsid w:val="00036C81"/>
    <w:rsid w:val="00040B25"/>
    <w:rsid w:val="00041DC9"/>
    <w:rsid w:val="00042634"/>
    <w:rsid w:val="00043C57"/>
    <w:rsid w:val="000444CF"/>
    <w:rsid w:val="0004613C"/>
    <w:rsid w:val="00050275"/>
    <w:rsid w:val="00050E68"/>
    <w:rsid w:val="00053B91"/>
    <w:rsid w:val="00054550"/>
    <w:rsid w:val="000552DD"/>
    <w:rsid w:val="00055503"/>
    <w:rsid w:val="00055603"/>
    <w:rsid w:val="000563A7"/>
    <w:rsid w:val="000568C7"/>
    <w:rsid w:val="00057496"/>
    <w:rsid w:val="00060FAE"/>
    <w:rsid w:val="000622E4"/>
    <w:rsid w:val="000641FD"/>
    <w:rsid w:val="00066AE6"/>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61A6"/>
    <w:rsid w:val="000D6DA7"/>
    <w:rsid w:val="000D76ED"/>
    <w:rsid w:val="000E1C68"/>
    <w:rsid w:val="000E4002"/>
    <w:rsid w:val="000E48CE"/>
    <w:rsid w:val="000E6C65"/>
    <w:rsid w:val="000E7D8D"/>
    <w:rsid w:val="000F022A"/>
    <w:rsid w:val="000F1E16"/>
    <w:rsid w:val="000F260E"/>
    <w:rsid w:val="000F271E"/>
    <w:rsid w:val="000F486C"/>
    <w:rsid w:val="000F4F73"/>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83E"/>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1B70"/>
    <w:rsid w:val="00171B92"/>
    <w:rsid w:val="0017259F"/>
    <w:rsid w:val="00172D70"/>
    <w:rsid w:val="0017305B"/>
    <w:rsid w:val="00174863"/>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4686"/>
    <w:rsid w:val="0019490C"/>
    <w:rsid w:val="00195780"/>
    <w:rsid w:val="00196B53"/>
    <w:rsid w:val="001A2E82"/>
    <w:rsid w:val="001A3CAE"/>
    <w:rsid w:val="001A3CD3"/>
    <w:rsid w:val="001A52F8"/>
    <w:rsid w:val="001A5572"/>
    <w:rsid w:val="001A591C"/>
    <w:rsid w:val="001A633A"/>
    <w:rsid w:val="001A6B03"/>
    <w:rsid w:val="001A6FB2"/>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3030"/>
    <w:rsid w:val="001D340A"/>
    <w:rsid w:val="001D3E09"/>
    <w:rsid w:val="001D4342"/>
    <w:rsid w:val="001D4FA2"/>
    <w:rsid w:val="001D5173"/>
    <w:rsid w:val="001D5A87"/>
    <w:rsid w:val="001D601F"/>
    <w:rsid w:val="001D6585"/>
    <w:rsid w:val="001E266E"/>
    <w:rsid w:val="001E26AF"/>
    <w:rsid w:val="001E59F3"/>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FC3"/>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58"/>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25A1"/>
    <w:rsid w:val="002E32B6"/>
    <w:rsid w:val="002E4364"/>
    <w:rsid w:val="002E4A47"/>
    <w:rsid w:val="002E6813"/>
    <w:rsid w:val="002E6E92"/>
    <w:rsid w:val="002F0D58"/>
    <w:rsid w:val="002F23FD"/>
    <w:rsid w:val="002F4E54"/>
    <w:rsid w:val="002F7127"/>
    <w:rsid w:val="00300835"/>
    <w:rsid w:val="00302F9C"/>
    <w:rsid w:val="00303959"/>
    <w:rsid w:val="003043C5"/>
    <w:rsid w:val="0030527A"/>
    <w:rsid w:val="0030573D"/>
    <w:rsid w:val="00305EEE"/>
    <w:rsid w:val="003069F6"/>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70251"/>
    <w:rsid w:val="00371756"/>
    <w:rsid w:val="0037373B"/>
    <w:rsid w:val="0037379E"/>
    <w:rsid w:val="0037399D"/>
    <w:rsid w:val="00374930"/>
    <w:rsid w:val="00374D15"/>
    <w:rsid w:val="00375543"/>
    <w:rsid w:val="00376F8F"/>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873"/>
    <w:rsid w:val="00410CE0"/>
    <w:rsid w:val="0041339E"/>
    <w:rsid w:val="004149FA"/>
    <w:rsid w:val="004155CF"/>
    <w:rsid w:val="004167D0"/>
    <w:rsid w:val="00416977"/>
    <w:rsid w:val="00417F7D"/>
    <w:rsid w:val="00424028"/>
    <w:rsid w:val="0042410B"/>
    <w:rsid w:val="00425555"/>
    <w:rsid w:val="00425AF4"/>
    <w:rsid w:val="00427264"/>
    <w:rsid w:val="00430787"/>
    <w:rsid w:val="004316A0"/>
    <w:rsid w:val="00435648"/>
    <w:rsid w:val="004368A3"/>
    <w:rsid w:val="004370D2"/>
    <w:rsid w:val="00437A1A"/>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5B5"/>
    <w:rsid w:val="004669B6"/>
    <w:rsid w:val="00470E7F"/>
    <w:rsid w:val="004721C1"/>
    <w:rsid w:val="004727A6"/>
    <w:rsid w:val="00473242"/>
    <w:rsid w:val="00474340"/>
    <w:rsid w:val="00474F88"/>
    <w:rsid w:val="00475620"/>
    <w:rsid w:val="00475C63"/>
    <w:rsid w:val="004774C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177E"/>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6005BF"/>
    <w:rsid w:val="00600981"/>
    <w:rsid w:val="00600CB6"/>
    <w:rsid w:val="006015B5"/>
    <w:rsid w:val="006020A6"/>
    <w:rsid w:val="006023E9"/>
    <w:rsid w:val="00602FE4"/>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2FC4"/>
    <w:rsid w:val="00623DED"/>
    <w:rsid w:val="006260DB"/>
    <w:rsid w:val="0062791F"/>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1510"/>
    <w:rsid w:val="006651F8"/>
    <w:rsid w:val="00667104"/>
    <w:rsid w:val="00667B53"/>
    <w:rsid w:val="00673E27"/>
    <w:rsid w:val="0067553F"/>
    <w:rsid w:val="00680402"/>
    <w:rsid w:val="00682B56"/>
    <w:rsid w:val="006830BE"/>
    <w:rsid w:val="00684171"/>
    <w:rsid w:val="006844B8"/>
    <w:rsid w:val="00685375"/>
    <w:rsid w:val="00686DD8"/>
    <w:rsid w:val="006873F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D3F"/>
    <w:rsid w:val="006E4EC6"/>
    <w:rsid w:val="006E4FF3"/>
    <w:rsid w:val="006E56AE"/>
    <w:rsid w:val="006E6F6F"/>
    <w:rsid w:val="006F1275"/>
    <w:rsid w:val="006F292A"/>
    <w:rsid w:val="006F2A86"/>
    <w:rsid w:val="006F5508"/>
    <w:rsid w:val="006F7053"/>
    <w:rsid w:val="00700A22"/>
    <w:rsid w:val="007020CF"/>
    <w:rsid w:val="00702E74"/>
    <w:rsid w:val="00704D4F"/>
    <w:rsid w:val="0070537C"/>
    <w:rsid w:val="00705799"/>
    <w:rsid w:val="0070643B"/>
    <w:rsid w:val="00706EAE"/>
    <w:rsid w:val="00707EA4"/>
    <w:rsid w:val="00711BF9"/>
    <w:rsid w:val="00717FFD"/>
    <w:rsid w:val="007209C5"/>
    <w:rsid w:val="00722BF3"/>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43E"/>
    <w:rsid w:val="007417F5"/>
    <w:rsid w:val="00741DC8"/>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F0D"/>
    <w:rsid w:val="007B23C0"/>
    <w:rsid w:val="007B27E1"/>
    <w:rsid w:val="007B33AE"/>
    <w:rsid w:val="007B42CC"/>
    <w:rsid w:val="007B4610"/>
    <w:rsid w:val="007B4DFD"/>
    <w:rsid w:val="007B6116"/>
    <w:rsid w:val="007C3FA1"/>
    <w:rsid w:val="007C5E14"/>
    <w:rsid w:val="007C60ED"/>
    <w:rsid w:val="007C7417"/>
    <w:rsid w:val="007C7BD8"/>
    <w:rsid w:val="007D1405"/>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CCB"/>
    <w:rsid w:val="00801552"/>
    <w:rsid w:val="00801BBD"/>
    <w:rsid w:val="008032D5"/>
    <w:rsid w:val="008065F3"/>
    <w:rsid w:val="00806CCA"/>
    <w:rsid w:val="00806D35"/>
    <w:rsid w:val="00806FA1"/>
    <w:rsid w:val="00810A26"/>
    <w:rsid w:val="00811BD8"/>
    <w:rsid w:val="00813813"/>
    <w:rsid w:val="008146E9"/>
    <w:rsid w:val="00816D2C"/>
    <w:rsid w:val="00820B22"/>
    <w:rsid w:val="00822861"/>
    <w:rsid w:val="00822E16"/>
    <w:rsid w:val="00823585"/>
    <w:rsid w:val="00826C9F"/>
    <w:rsid w:val="0083037A"/>
    <w:rsid w:val="00830953"/>
    <w:rsid w:val="00831520"/>
    <w:rsid w:val="00832BC4"/>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6231"/>
    <w:rsid w:val="00871DE1"/>
    <w:rsid w:val="00872159"/>
    <w:rsid w:val="008746E2"/>
    <w:rsid w:val="008748F1"/>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3357"/>
    <w:rsid w:val="008B5D76"/>
    <w:rsid w:val="008B658D"/>
    <w:rsid w:val="008B705F"/>
    <w:rsid w:val="008B70BA"/>
    <w:rsid w:val="008B7348"/>
    <w:rsid w:val="008B7795"/>
    <w:rsid w:val="008B7C41"/>
    <w:rsid w:val="008C0AD8"/>
    <w:rsid w:val="008C0E0B"/>
    <w:rsid w:val="008C2C0F"/>
    <w:rsid w:val="008C3CFD"/>
    <w:rsid w:val="008C469A"/>
    <w:rsid w:val="008C4E6E"/>
    <w:rsid w:val="008C5DF8"/>
    <w:rsid w:val="008C5FFC"/>
    <w:rsid w:val="008D088E"/>
    <w:rsid w:val="008D15CA"/>
    <w:rsid w:val="008D1DDA"/>
    <w:rsid w:val="008D23A0"/>
    <w:rsid w:val="008D30DA"/>
    <w:rsid w:val="008D365B"/>
    <w:rsid w:val="008D5C7D"/>
    <w:rsid w:val="008E189E"/>
    <w:rsid w:val="008F0A38"/>
    <w:rsid w:val="008F1595"/>
    <w:rsid w:val="008F213E"/>
    <w:rsid w:val="008F2648"/>
    <w:rsid w:val="008F36D2"/>
    <w:rsid w:val="008F4215"/>
    <w:rsid w:val="008F5DED"/>
    <w:rsid w:val="008F6D61"/>
    <w:rsid w:val="008F70F5"/>
    <w:rsid w:val="00900CF3"/>
    <w:rsid w:val="009013D3"/>
    <w:rsid w:val="00901C4D"/>
    <w:rsid w:val="0090209F"/>
    <w:rsid w:val="00902424"/>
    <w:rsid w:val="00910B55"/>
    <w:rsid w:val="00912199"/>
    <w:rsid w:val="00913618"/>
    <w:rsid w:val="00914CB4"/>
    <w:rsid w:val="00917A9D"/>
    <w:rsid w:val="00920AFE"/>
    <w:rsid w:val="00920E7D"/>
    <w:rsid w:val="00921514"/>
    <w:rsid w:val="00924220"/>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3E94"/>
    <w:rsid w:val="00995C96"/>
    <w:rsid w:val="00996471"/>
    <w:rsid w:val="00997176"/>
    <w:rsid w:val="009A0717"/>
    <w:rsid w:val="009A08E6"/>
    <w:rsid w:val="009A1D90"/>
    <w:rsid w:val="009A1E66"/>
    <w:rsid w:val="009A55C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66A"/>
    <w:rsid w:val="00AB53D1"/>
    <w:rsid w:val="00AB65F8"/>
    <w:rsid w:val="00AB783E"/>
    <w:rsid w:val="00AB7F43"/>
    <w:rsid w:val="00AC1093"/>
    <w:rsid w:val="00AC2C31"/>
    <w:rsid w:val="00AC4F04"/>
    <w:rsid w:val="00AC5E16"/>
    <w:rsid w:val="00AC5F49"/>
    <w:rsid w:val="00AC7D6F"/>
    <w:rsid w:val="00AD37D0"/>
    <w:rsid w:val="00AE17DB"/>
    <w:rsid w:val="00AE1890"/>
    <w:rsid w:val="00AE36B5"/>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6EA"/>
    <w:rsid w:val="00B96FA8"/>
    <w:rsid w:val="00B97028"/>
    <w:rsid w:val="00B97178"/>
    <w:rsid w:val="00B973C7"/>
    <w:rsid w:val="00BA06FE"/>
    <w:rsid w:val="00BA0B76"/>
    <w:rsid w:val="00BA116E"/>
    <w:rsid w:val="00BA26E8"/>
    <w:rsid w:val="00BA28CD"/>
    <w:rsid w:val="00BA2F4F"/>
    <w:rsid w:val="00BA353E"/>
    <w:rsid w:val="00BA4019"/>
    <w:rsid w:val="00BA46E6"/>
    <w:rsid w:val="00BA6291"/>
    <w:rsid w:val="00BB0324"/>
    <w:rsid w:val="00BB146D"/>
    <w:rsid w:val="00BB279C"/>
    <w:rsid w:val="00BB5E19"/>
    <w:rsid w:val="00BB6075"/>
    <w:rsid w:val="00BB6A87"/>
    <w:rsid w:val="00BC2B11"/>
    <w:rsid w:val="00BC2C96"/>
    <w:rsid w:val="00BC3E2C"/>
    <w:rsid w:val="00BC5371"/>
    <w:rsid w:val="00BC678E"/>
    <w:rsid w:val="00BD0D2E"/>
    <w:rsid w:val="00BD1576"/>
    <w:rsid w:val="00BD1626"/>
    <w:rsid w:val="00BD19BA"/>
    <w:rsid w:val="00BD6260"/>
    <w:rsid w:val="00BE0126"/>
    <w:rsid w:val="00BE395E"/>
    <w:rsid w:val="00BE7542"/>
    <w:rsid w:val="00BE76A1"/>
    <w:rsid w:val="00BE77E2"/>
    <w:rsid w:val="00BF0D3D"/>
    <w:rsid w:val="00BF1178"/>
    <w:rsid w:val="00BF17A1"/>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D0F"/>
    <w:rsid w:val="00C65881"/>
    <w:rsid w:val="00C65F0E"/>
    <w:rsid w:val="00C66862"/>
    <w:rsid w:val="00C67E13"/>
    <w:rsid w:val="00C71C2D"/>
    <w:rsid w:val="00C71FB6"/>
    <w:rsid w:val="00C736D9"/>
    <w:rsid w:val="00C7389A"/>
    <w:rsid w:val="00C73C7F"/>
    <w:rsid w:val="00C7562E"/>
    <w:rsid w:val="00C7641B"/>
    <w:rsid w:val="00C76539"/>
    <w:rsid w:val="00C76C2D"/>
    <w:rsid w:val="00C80463"/>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840"/>
    <w:rsid w:val="00CB330B"/>
    <w:rsid w:val="00CB3EA7"/>
    <w:rsid w:val="00CB6177"/>
    <w:rsid w:val="00CB7F5C"/>
    <w:rsid w:val="00CC035F"/>
    <w:rsid w:val="00CC0814"/>
    <w:rsid w:val="00CC0A73"/>
    <w:rsid w:val="00CC0AC1"/>
    <w:rsid w:val="00CC25D7"/>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0376"/>
    <w:rsid w:val="00D917F3"/>
    <w:rsid w:val="00D9194C"/>
    <w:rsid w:val="00D91C1E"/>
    <w:rsid w:val="00D9464E"/>
    <w:rsid w:val="00D97409"/>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541B"/>
    <w:rsid w:val="00DD700D"/>
    <w:rsid w:val="00DE176D"/>
    <w:rsid w:val="00DE5230"/>
    <w:rsid w:val="00DE5B16"/>
    <w:rsid w:val="00DE62B3"/>
    <w:rsid w:val="00DE77E2"/>
    <w:rsid w:val="00DE7917"/>
    <w:rsid w:val="00DF00A9"/>
    <w:rsid w:val="00DF0287"/>
    <w:rsid w:val="00DF0C14"/>
    <w:rsid w:val="00DF1B30"/>
    <w:rsid w:val="00DF41B1"/>
    <w:rsid w:val="00DF5650"/>
    <w:rsid w:val="00DF5A8D"/>
    <w:rsid w:val="00DF7794"/>
    <w:rsid w:val="00DF7F1E"/>
    <w:rsid w:val="00E023E5"/>
    <w:rsid w:val="00E04A02"/>
    <w:rsid w:val="00E05C0C"/>
    <w:rsid w:val="00E061E2"/>
    <w:rsid w:val="00E071B7"/>
    <w:rsid w:val="00E1070B"/>
    <w:rsid w:val="00E15787"/>
    <w:rsid w:val="00E17A27"/>
    <w:rsid w:val="00E2165A"/>
    <w:rsid w:val="00E2375E"/>
    <w:rsid w:val="00E23C16"/>
    <w:rsid w:val="00E24935"/>
    <w:rsid w:val="00E24D73"/>
    <w:rsid w:val="00E25E19"/>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3E"/>
    <w:rsid w:val="00E82010"/>
    <w:rsid w:val="00E82765"/>
    <w:rsid w:val="00E83CD2"/>
    <w:rsid w:val="00E84D0F"/>
    <w:rsid w:val="00E85BCE"/>
    <w:rsid w:val="00E87C18"/>
    <w:rsid w:val="00E87FB3"/>
    <w:rsid w:val="00E90E43"/>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278"/>
    <w:rsid w:val="00EB7C7E"/>
    <w:rsid w:val="00EC155C"/>
    <w:rsid w:val="00EC20FA"/>
    <w:rsid w:val="00EC2A2E"/>
    <w:rsid w:val="00EC38C5"/>
    <w:rsid w:val="00EC412A"/>
    <w:rsid w:val="00EC4748"/>
    <w:rsid w:val="00EC4906"/>
    <w:rsid w:val="00EC63D7"/>
    <w:rsid w:val="00EC6537"/>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5627"/>
    <w:rsid w:val="00EF7702"/>
    <w:rsid w:val="00F02861"/>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DE"/>
    <w:rsid w:val="00F44EC9"/>
    <w:rsid w:val="00F4512A"/>
    <w:rsid w:val="00F46948"/>
    <w:rsid w:val="00F4758E"/>
    <w:rsid w:val="00F50DED"/>
    <w:rsid w:val="00F513FB"/>
    <w:rsid w:val="00F515F0"/>
    <w:rsid w:val="00F51D81"/>
    <w:rsid w:val="00F531CF"/>
    <w:rsid w:val="00F53384"/>
    <w:rsid w:val="00F55A3A"/>
    <w:rsid w:val="00F562DD"/>
    <w:rsid w:val="00F566C1"/>
    <w:rsid w:val="00F608D0"/>
    <w:rsid w:val="00F63FDE"/>
    <w:rsid w:val="00F64620"/>
    <w:rsid w:val="00F647B4"/>
    <w:rsid w:val="00F64F09"/>
    <w:rsid w:val="00F65F48"/>
    <w:rsid w:val="00F67801"/>
    <w:rsid w:val="00F679F5"/>
    <w:rsid w:val="00F706F2"/>
    <w:rsid w:val="00F70CBE"/>
    <w:rsid w:val="00F729B6"/>
    <w:rsid w:val="00F72D02"/>
    <w:rsid w:val="00F75AC4"/>
    <w:rsid w:val="00F76F23"/>
    <w:rsid w:val="00F770F0"/>
    <w:rsid w:val="00F810D9"/>
    <w:rsid w:val="00F81503"/>
    <w:rsid w:val="00F85351"/>
    <w:rsid w:val="00F86BB9"/>
    <w:rsid w:val="00F86C5B"/>
    <w:rsid w:val="00F91B94"/>
    <w:rsid w:val="00F92978"/>
    <w:rsid w:val="00F93334"/>
    <w:rsid w:val="00F964D5"/>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qFormat/>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aliases w:val="eq"/>
    <w:basedOn w:val="Normal"/>
    <w:link w:val="EquationChar"/>
    <w:qFormat/>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 w:type="character" w:customStyle="1" w:styleId="EquationChar">
    <w:name w:val="Equation Char"/>
    <w:basedOn w:val="DefaultParagraphFont"/>
    <w:link w:val="Equation"/>
    <w:qFormat/>
    <w:locked/>
    <w:rsid w:val="00E061E2"/>
    <w:rPr>
      <w:sz w:val="24"/>
      <w:lang w:val="en-GB"/>
    </w:rPr>
  </w:style>
  <w:style w:type="paragraph" w:customStyle="1" w:styleId="TableText0">
    <w:name w:val="Table_Text"/>
    <w:basedOn w:val="Normal"/>
    <w:uiPriority w:val="99"/>
    <w:rsid w:val="00066AE6"/>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im.l.kolb@boe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js@asri.aero" TargetMode="External"/><Relationship Id="rId5" Type="http://schemas.openxmlformats.org/officeDocument/2006/relationships/numbering" Target="numbering.xml"/><Relationship Id="rId15" Type="http://schemas.openxmlformats.org/officeDocument/2006/relationships/hyperlink" Target="https://www.itu.int/rec/R-REC-M.2059/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23-WP5B-C-014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3.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USA</cp:lastModifiedBy>
  <cp:revision>2</cp:revision>
  <cp:lastPrinted>2025-02-03T15:57:00Z</cp:lastPrinted>
  <dcterms:created xsi:type="dcterms:W3CDTF">2025-08-11T22:22:00Z</dcterms:created>
  <dcterms:modified xsi:type="dcterms:W3CDTF">2025-08-11T22:22:00Z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