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591464" w:rsidRPr="00C2234B" w14:paraId="36336F21" w14:textId="77777777" w:rsidTr="00EE2F58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4CD6119" w14:textId="77777777" w:rsidR="00591464" w:rsidRPr="00C2234B" w:rsidRDefault="00591464" w:rsidP="00EE2F58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bookmarkStart w:id="0" w:name="_Hlk206000649"/>
            <w:r w:rsidRPr="00A02BF0">
              <w:br w:type="page"/>
            </w:r>
            <w:r w:rsidRPr="00C2234B">
              <w:rPr>
                <w:spacing w:val="-3"/>
                <w:szCs w:val="24"/>
              </w:rPr>
              <w:t>U.S. Radiocommunications Sector</w:t>
            </w:r>
          </w:p>
          <w:p w14:paraId="2612B195" w14:textId="77777777" w:rsidR="00591464" w:rsidRPr="00C2234B" w:rsidRDefault="00591464" w:rsidP="00EE2F58">
            <w:pPr>
              <w:pStyle w:val="TabletitleBR"/>
              <w:rPr>
                <w:spacing w:val="-3"/>
                <w:szCs w:val="24"/>
              </w:rPr>
            </w:pPr>
            <w:r w:rsidRPr="00C2234B">
              <w:rPr>
                <w:spacing w:val="-3"/>
                <w:szCs w:val="24"/>
              </w:rPr>
              <w:t>Fact Sheet</w:t>
            </w:r>
          </w:p>
        </w:tc>
      </w:tr>
      <w:tr w:rsidR="00591464" w:rsidRPr="00C2234B" w14:paraId="0E8EE27C" w14:textId="77777777" w:rsidTr="00EE2F58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6E3B2232" w14:textId="08EBE447" w:rsidR="00591464" w:rsidRPr="00C2234B" w:rsidRDefault="00591464" w:rsidP="00EE2F58">
            <w:pPr>
              <w:spacing w:after="120"/>
              <w:ind w:right="144"/>
            </w:pPr>
            <w:r w:rsidRPr="00C2234B">
              <w:rPr>
                <w:b/>
              </w:rPr>
              <w:t>Working Party:</w:t>
            </w:r>
            <w:r w:rsidRPr="00C2234B">
              <w:t xml:space="preserve">  ITU-R WP 5C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D9BD6DE" w14:textId="1136A864" w:rsidR="00591464" w:rsidRPr="00C2234B" w:rsidRDefault="00591464" w:rsidP="00EE2F58">
            <w:pPr>
              <w:spacing w:after="120"/>
              <w:ind w:right="144"/>
            </w:pPr>
            <w:r w:rsidRPr="00C2234B">
              <w:rPr>
                <w:b/>
              </w:rPr>
              <w:t>Document No:</w:t>
            </w:r>
            <w:r w:rsidRPr="00C2234B">
              <w:t xml:space="preserve">  </w:t>
            </w:r>
            <w:bookmarkStart w:id="1" w:name="_Hlk209432806"/>
            <w:r w:rsidRPr="00C2234B">
              <w:t>USWP5C</w:t>
            </w:r>
            <w:bookmarkEnd w:id="1"/>
            <w:r w:rsidR="0098757B">
              <w:t>-XX</w:t>
            </w:r>
          </w:p>
        </w:tc>
      </w:tr>
      <w:tr w:rsidR="00591464" w:rsidRPr="00C2234B" w14:paraId="485FAC27" w14:textId="77777777" w:rsidTr="00EE2F58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1A936ED0" w14:textId="4B693B21" w:rsidR="00591464" w:rsidRPr="00C2234B" w:rsidRDefault="00591464" w:rsidP="00EE2F58">
            <w:pPr>
              <w:ind w:right="144"/>
            </w:pPr>
            <w:r w:rsidRPr="00C2234B">
              <w:rPr>
                <w:b/>
              </w:rPr>
              <w:t xml:space="preserve">Ref:  </w:t>
            </w:r>
            <w:r w:rsidR="00D56EFB" w:rsidRPr="00C2234B">
              <w:t xml:space="preserve"> </w:t>
            </w:r>
            <w:r w:rsidR="00D56EFB" w:rsidRPr="00C2234B">
              <w:rPr>
                <w:bCs/>
              </w:rPr>
              <w:t>Document 5C/</w:t>
            </w:r>
            <w:r w:rsidR="00EB7747" w:rsidRPr="00C2234B">
              <w:rPr>
                <w:bCs/>
              </w:rPr>
              <w:t>2</w:t>
            </w:r>
            <w:r w:rsidR="00085B4D">
              <w:rPr>
                <w:bCs/>
              </w:rPr>
              <w:t>7</w:t>
            </w:r>
            <w:r w:rsidR="00BB26D2">
              <w:rPr>
                <w:bCs/>
              </w:rPr>
              <w:t>1</w:t>
            </w:r>
            <w:r w:rsidR="00D56EFB" w:rsidRPr="00C2234B">
              <w:rPr>
                <w:bCs/>
              </w:rPr>
              <w:t xml:space="preserve"> (Annex 2.</w:t>
            </w:r>
            <w:r w:rsidR="00085B4D">
              <w:rPr>
                <w:bCs/>
              </w:rPr>
              <w:t>4</w:t>
            </w:r>
            <w:r w:rsidR="00D56EFB" w:rsidRPr="00C2234B">
              <w:rPr>
                <w:bCs/>
              </w:rPr>
              <w:t>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250EEB25" w14:textId="15DDCA8E" w:rsidR="00591464" w:rsidRPr="00C2234B" w:rsidRDefault="00591464" w:rsidP="00EE2F58">
            <w:pPr>
              <w:tabs>
                <w:tab w:val="left" w:pos="162"/>
              </w:tabs>
              <w:ind w:right="144"/>
            </w:pPr>
            <w:r w:rsidRPr="00C2234B">
              <w:rPr>
                <w:b/>
              </w:rPr>
              <w:t>Date:</w:t>
            </w:r>
            <w:r w:rsidRPr="00C2234B">
              <w:t xml:space="preserve">  </w:t>
            </w:r>
            <w:r w:rsidR="0098757B">
              <w:t>February 18,</w:t>
            </w:r>
            <w:r w:rsidR="0098757B">
              <w:rPr>
                <w:vertAlign w:val="superscript"/>
              </w:rPr>
              <w:t xml:space="preserve"> </w:t>
            </w:r>
            <w:r w:rsidR="0098757B">
              <w:t>202</w:t>
            </w:r>
            <w:r w:rsidR="00B70841">
              <w:t>6</w:t>
            </w:r>
          </w:p>
        </w:tc>
      </w:tr>
      <w:tr w:rsidR="00591464" w:rsidRPr="00C2234B" w14:paraId="0215A09E" w14:textId="77777777" w:rsidTr="00EE2F58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95C3979" w14:textId="71752285" w:rsidR="00591464" w:rsidRPr="00C2234B" w:rsidRDefault="00591464" w:rsidP="00591464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C2234B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C2234B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Pr="00C2234B">
              <w:t xml:space="preserve">   </w:t>
            </w:r>
            <w:r w:rsidRPr="00C2234B">
              <w:rPr>
                <w:sz w:val="22"/>
                <w:szCs w:val="16"/>
              </w:rPr>
              <w:t>WORKING DOCUMENT ON SHARING STUDIES UNDER WRC-27 AGENDA ITEM 1.10</w:t>
            </w:r>
          </w:p>
        </w:tc>
      </w:tr>
      <w:tr w:rsidR="00591464" w:rsidRPr="00C2234B" w14:paraId="187B8FE7" w14:textId="77777777" w:rsidTr="00EE2F58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12BF6FB8" w14:textId="77777777" w:rsidR="00591464" w:rsidRPr="00C2234B" w:rsidRDefault="00591464" w:rsidP="00EE2F58">
            <w:pPr>
              <w:ind w:right="144"/>
              <w:rPr>
                <w:b/>
              </w:rPr>
            </w:pPr>
            <w:r w:rsidRPr="00C2234B">
              <w:rPr>
                <w:b/>
              </w:rPr>
              <w:t>Author(s)/Contributors(s):</w:t>
            </w:r>
          </w:p>
          <w:p w14:paraId="552DA0AA" w14:textId="77777777" w:rsidR="00591464" w:rsidRPr="00C2234B" w:rsidRDefault="00591464" w:rsidP="00EE2F58">
            <w:pPr>
              <w:ind w:left="144" w:right="144"/>
              <w:rPr>
                <w:bCs/>
                <w:iCs/>
              </w:rPr>
            </w:pPr>
          </w:p>
          <w:p w14:paraId="52797ACA" w14:textId="77777777" w:rsidR="00591464" w:rsidRPr="00C2234B" w:rsidRDefault="00591464" w:rsidP="00EE2F58">
            <w:pPr>
              <w:ind w:left="144" w:right="144"/>
              <w:rPr>
                <w:bCs/>
                <w:iCs/>
              </w:rPr>
            </w:pPr>
            <w:r w:rsidRPr="00C2234B">
              <w:rPr>
                <w:bCs/>
                <w:iCs/>
              </w:rPr>
              <w:t>Zahid Islam</w:t>
            </w:r>
          </w:p>
          <w:p w14:paraId="196879D7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5816FA81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</w:p>
          <w:p w14:paraId="0495190F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Joe McMichael</w:t>
            </w:r>
          </w:p>
          <w:p w14:paraId="66EF0108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7A076CAA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</w:p>
          <w:p w14:paraId="09E0B105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Nader Damavandi</w:t>
            </w:r>
          </w:p>
          <w:p w14:paraId="3193A062" w14:textId="3A12BBF4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08A8E264" w14:textId="77777777" w:rsidR="000375E5" w:rsidRPr="00C2234B" w:rsidRDefault="000375E5" w:rsidP="00EE2F58">
            <w:pPr>
              <w:ind w:left="144" w:right="144"/>
              <w:rPr>
                <w:bCs/>
                <w:iCs/>
                <w:lang w:val="it-IT"/>
              </w:rPr>
            </w:pPr>
          </w:p>
          <w:p w14:paraId="1E7ACAA4" w14:textId="711655E3" w:rsidR="000375E5" w:rsidRPr="00C2234B" w:rsidRDefault="000375E5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Jameson Dempsey</w:t>
            </w:r>
          </w:p>
          <w:p w14:paraId="18170061" w14:textId="2278BDBF" w:rsidR="000375E5" w:rsidRPr="00C2234B" w:rsidRDefault="000375E5" w:rsidP="00EE2F58">
            <w:pPr>
              <w:ind w:left="144" w:right="144"/>
              <w:rPr>
                <w:bCs/>
                <w:iCs/>
                <w:lang w:val="it-IT"/>
              </w:rPr>
            </w:pPr>
            <w:r w:rsidRPr="00C2234B">
              <w:rPr>
                <w:bCs/>
                <w:iCs/>
                <w:lang w:val="it-IT"/>
              </w:rPr>
              <w:t>SpaceX</w:t>
            </w:r>
          </w:p>
          <w:p w14:paraId="077CA94B" w14:textId="77777777" w:rsidR="00591464" w:rsidRPr="00C2234B" w:rsidRDefault="00591464" w:rsidP="00EE2F58">
            <w:pPr>
              <w:ind w:left="144" w:right="144"/>
              <w:rPr>
                <w:bCs/>
                <w:iCs/>
                <w:lang w:val="it-IT"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547765FB" w14:textId="77777777" w:rsidR="00591464" w:rsidRPr="00C2234B" w:rsidRDefault="00591464" w:rsidP="00EE2F58">
            <w:pPr>
              <w:ind w:right="144"/>
              <w:rPr>
                <w:b/>
                <w:bCs/>
                <w:lang w:val="fr-FR"/>
              </w:rPr>
            </w:pPr>
          </w:p>
          <w:p w14:paraId="03902FD2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4D873267" w14:textId="076E040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  <w:proofErr w:type="gramStart"/>
            <w:r w:rsidRPr="00C2234B">
              <w:rPr>
                <w:bCs/>
                <w:lang w:val="fr-FR"/>
              </w:rPr>
              <w:t>Email:</w:t>
            </w:r>
            <w:proofErr w:type="gramEnd"/>
            <w:r w:rsidRPr="00C2234B">
              <w:rPr>
                <w:bCs/>
                <w:lang w:val="fr-FR"/>
              </w:rPr>
              <w:t xml:space="preserve">  </w:t>
            </w:r>
            <w:hyperlink r:id="rId11" w:history="1">
              <w:r w:rsidRPr="00C2234B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Pr="00C2234B">
              <w:rPr>
                <w:bCs/>
                <w:lang w:val="fr-FR"/>
              </w:rPr>
              <w:t xml:space="preserve"> </w:t>
            </w:r>
            <w:r w:rsidRPr="00C2234B">
              <w:rPr>
                <w:bCs/>
                <w:lang w:val="fr-FR"/>
              </w:rPr>
              <w:br/>
              <w:t xml:space="preserve"> </w:t>
            </w:r>
          </w:p>
          <w:p w14:paraId="56A56C36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233548CF" w14:textId="25B4A59C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  <w:proofErr w:type="gramStart"/>
            <w:r w:rsidRPr="00C2234B">
              <w:rPr>
                <w:bCs/>
                <w:lang w:val="fr-FR"/>
              </w:rPr>
              <w:t>Email:</w:t>
            </w:r>
            <w:proofErr w:type="gramEnd"/>
            <w:r w:rsidRPr="00C2234B">
              <w:rPr>
                <w:bCs/>
                <w:lang w:val="fr-FR"/>
              </w:rPr>
              <w:t xml:space="preserve">  </w:t>
            </w:r>
            <w:r w:rsidRPr="00C2234B">
              <w:t xml:space="preserve"> </w:t>
            </w:r>
            <w:hyperlink r:id="rId12" w:history="1">
              <w:r w:rsidRPr="00C2234B">
                <w:rPr>
                  <w:rStyle w:val="Hyperlink"/>
                  <w:bCs/>
                  <w:lang w:val="fr-FR"/>
                </w:rPr>
                <w:t>Joseph.McMichael@spacex.com</w:t>
              </w:r>
            </w:hyperlink>
            <w:r w:rsidRPr="00C2234B">
              <w:rPr>
                <w:bCs/>
                <w:lang w:val="fr-FR"/>
              </w:rPr>
              <w:t xml:space="preserve"> </w:t>
            </w:r>
            <w:r w:rsidRPr="00C2234B">
              <w:rPr>
                <w:bCs/>
                <w:lang w:val="fr-FR"/>
              </w:rPr>
              <w:br/>
            </w:r>
          </w:p>
          <w:p w14:paraId="4E36E3F9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2AD498D5" w14:textId="4132514E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  <w:proofErr w:type="gramStart"/>
            <w:r w:rsidRPr="00C2234B">
              <w:rPr>
                <w:bCs/>
                <w:lang w:val="fr-FR"/>
              </w:rPr>
              <w:t>Email:</w:t>
            </w:r>
            <w:proofErr w:type="gramEnd"/>
            <w:r w:rsidRPr="00C2234B">
              <w:rPr>
                <w:bCs/>
                <w:lang w:val="fr-FR"/>
              </w:rPr>
              <w:t xml:space="preserve">  </w:t>
            </w:r>
            <w:hyperlink r:id="rId13" w:history="1">
              <w:r w:rsidRPr="00C2234B">
                <w:rPr>
                  <w:rStyle w:val="Hyperlink"/>
                  <w:bCs/>
                  <w:lang w:val="fr-FR"/>
                </w:rPr>
                <w:t>Nader.Damavandi@spacex.com</w:t>
              </w:r>
            </w:hyperlink>
            <w:r w:rsidRPr="00C2234B">
              <w:rPr>
                <w:bCs/>
                <w:lang w:val="fr-FR"/>
              </w:rPr>
              <w:t xml:space="preserve"> </w:t>
            </w:r>
            <w:r w:rsidRPr="00C2234B">
              <w:rPr>
                <w:bCs/>
                <w:lang w:val="fr-FR"/>
              </w:rPr>
              <w:br/>
            </w:r>
          </w:p>
          <w:p w14:paraId="74F5AE45" w14:textId="77777777" w:rsidR="00591464" w:rsidRPr="00C2234B" w:rsidRDefault="00591464" w:rsidP="00EE2F58">
            <w:pPr>
              <w:ind w:right="144"/>
              <w:rPr>
                <w:bCs/>
                <w:lang w:val="fr-FR"/>
              </w:rPr>
            </w:pPr>
          </w:p>
          <w:p w14:paraId="6D73DD33" w14:textId="77777777" w:rsidR="000375E5" w:rsidRPr="00C2234B" w:rsidRDefault="000375E5" w:rsidP="00EE2F58">
            <w:pPr>
              <w:ind w:right="144"/>
              <w:rPr>
                <w:bCs/>
                <w:lang w:val="fr-FR"/>
              </w:rPr>
            </w:pPr>
          </w:p>
          <w:p w14:paraId="7A474448" w14:textId="66B8F580" w:rsidR="000375E5" w:rsidRPr="00C2234B" w:rsidRDefault="000375E5" w:rsidP="00EE2F58">
            <w:pPr>
              <w:ind w:right="144"/>
              <w:rPr>
                <w:bCs/>
                <w:lang w:val="fr-FR"/>
              </w:rPr>
            </w:pPr>
            <w:proofErr w:type="gramStart"/>
            <w:r w:rsidRPr="00C2234B">
              <w:rPr>
                <w:bCs/>
                <w:lang w:val="fr-FR"/>
              </w:rPr>
              <w:t>Email:</w:t>
            </w:r>
            <w:proofErr w:type="gramEnd"/>
            <w:r w:rsidRPr="00C2234B">
              <w:rPr>
                <w:bCs/>
                <w:lang w:val="fr-FR"/>
              </w:rPr>
              <w:t xml:space="preserve"> </w:t>
            </w:r>
            <w:hyperlink r:id="rId14" w:history="1">
              <w:r w:rsidRPr="00C2234B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</w:p>
          <w:p w14:paraId="38F7E0E5" w14:textId="21EC1E0A" w:rsidR="000375E5" w:rsidRPr="00C2234B" w:rsidRDefault="000375E5" w:rsidP="00EE2F58">
            <w:pPr>
              <w:ind w:right="144"/>
              <w:rPr>
                <w:bCs/>
                <w:lang w:val="fr-FR"/>
              </w:rPr>
            </w:pPr>
          </w:p>
        </w:tc>
      </w:tr>
      <w:tr w:rsidR="00591464" w:rsidRPr="00C2234B" w14:paraId="232D8FF0" w14:textId="77777777" w:rsidTr="00EE2F58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74C5B2C" w14:textId="1F0E4013" w:rsidR="00591464" w:rsidRPr="00C2234B" w:rsidRDefault="00591464" w:rsidP="00591464">
            <w:pPr>
              <w:spacing w:after="120"/>
              <w:ind w:right="144"/>
              <w:rPr>
                <w:bCs/>
              </w:rPr>
            </w:pPr>
            <w:r w:rsidRPr="00C2234B">
              <w:rPr>
                <w:b/>
              </w:rPr>
              <w:t xml:space="preserve">Purpose/Objective: </w:t>
            </w:r>
            <w:r w:rsidR="004238D1" w:rsidRPr="00C2234B">
              <w:rPr>
                <w:bCs/>
              </w:rPr>
              <w:t>A</w:t>
            </w:r>
            <w:r w:rsidR="00DA1D4C" w:rsidRPr="00C2234B">
              <w:rPr>
                <w:bCs/>
              </w:rPr>
              <w:t>dd studies</w:t>
            </w:r>
            <w:r w:rsidR="004238D1" w:rsidRPr="00C2234B">
              <w:rPr>
                <w:bCs/>
              </w:rPr>
              <w:t xml:space="preserve"> to the Working Doc on AI 1.10, i.e. 5C/2</w:t>
            </w:r>
            <w:r w:rsidR="00085B4D">
              <w:rPr>
                <w:bCs/>
              </w:rPr>
              <w:t>7</w:t>
            </w:r>
            <w:r w:rsidR="00335D9F">
              <w:rPr>
                <w:bCs/>
              </w:rPr>
              <w:t>1</w:t>
            </w:r>
            <w:r w:rsidR="004238D1" w:rsidRPr="00C2234B">
              <w:rPr>
                <w:bCs/>
              </w:rPr>
              <w:t xml:space="preserve"> (Annex 2.</w:t>
            </w:r>
            <w:r w:rsidR="00085B4D">
              <w:rPr>
                <w:bCs/>
              </w:rPr>
              <w:t>4</w:t>
            </w:r>
            <w:r w:rsidR="004238D1" w:rsidRPr="00C2234B">
              <w:rPr>
                <w:bCs/>
              </w:rPr>
              <w:t>)</w:t>
            </w:r>
          </w:p>
          <w:p w14:paraId="2752810D" w14:textId="77777777" w:rsidR="00591464" w:rsidRPr="00C2234B" w:rsidRDefault="00591464" w:rsidP="00EE2F58">
            <w:pPr>
              <w:spacing w:after="120"/>
              <w:ind w:right="144"/>
            </w:pPr>
          </w:p>
        </w:tc>
      </w:tr>
      <w:tr w:rsidR="00591464" w:rsidRPr="00C2234B" w14:paraId="4C46E611" w14:textId="77777777" w:rsidTr="00EE2F58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B3C8855" w14:textId="5F5E7BCA" w:rsidR="006F1F99" w:rsidRPr="00C2234B" w:rsidRDefault="00591464" w:rsidP="007812E0">
            <w:pPr>
              <w:spacing w:after="120"/>
              <w:ind w:right="144"/>
              <w:rPr>
                <w:bCs/>
                <w:lang w:val="en-US"/>
              </w:rPr>
            </w:pPr>
            <w:r w:rsidRPr="00C2234B">
              <w:rPr>
                <w:b/>
              </w:rPr>
              <w:t>Abstract:</w:t>
            </w:r>
            <w:r w:rsidRPr="00C2234B">
              <w:rPr>
                <w:bCs/>
              </w:rPr>
              <w:t xml:space="preserve">   </w:t>
            </w:r>
            <w:r w:rsidR="004238D1" w:rsidRPr="00C2234B">
              <w:rPr>
                <w:bCs/>
              </w:rPr>
              <w:t>Within the context of AI 1.10, WP5C, based on studies, will determine power flux-density (</w:t>
            </w:r>
            <w:proofErr w:type="spellStart"/>
            <w:r w:rsidR="004238D1" w:rsidRPr="00C2234B">
              <w:rPr>
                <w:bCs/>
              </w:rPr>
              <w:t>pfd</w:t>
            </w:r>
            <w:proofErr w:type="spellEnd"/>
            <w:r w:rsidR="004238D1" w:rsidRPr="00C2234B">
              <w:rPr>
                <w:bCs/>
              </w:rPr>
              <w:t xml:space="preserve">) and equivalent </w:t>
            </w:r>
            <w:proofErr w:type="spellStart"/>
            <w:r w:rsidR="004238D1" w:rsidRPr="00C2234B">
              <w:rPr>
                <w:bCs/>
              </w:rPr>
              <w:t>isotropically</w:t>
            </w:r>
            <w:proofErr w:type="spellEnd"/>
            <w:r w:rsidR="004238D1" w:rsidRPr="00C2234B">
              <w:rPr>
                <w:bCs/>
              </w:rPr>
              <w:t xml:space="preserve"> radiated power (</w:t>
            </w:r>
            <w:proofErr w:type="spellStart"/>
            <w:r w:rsidR="004238D1" w:rsidRPr="00C2234B">
              <w:rPr>
                <w:bCs/>
              </w:rPr>
              <w:t>e.i.r.p</w:t>
            </w:r>
            <w:proofErr w:type="spellEnd"/>
            <w:r w:rsidR="004238D1" w:rsidRPr="00C2234B">
              <w:rPr>
                <w:bCs/>
              </w:rPr>
              <w:t>.) limits to be included in Article 21 for satellite services (fixed-satellite service (FSS), mobile-satellite service (MSS) and broadcasting-satellite service (BSS)) to protect the current and planned fixed and mobile services in the frequency bands 71-76 GHz and 81-86 GHz. The United States hereby add</w:t>
            </w:r>
            <w:r w:rsidR="00085B4D">
              <w:rPr>
                <w:bCs/>
              </w:rPr>
              <w:t>ed</w:t>
            </w:r>
            <w:r w:rsidR="004238D1" w:rsidRPr="00C2234B">
              <w:rPr>
                <w:bCs/>
              </w:rPr>
              <w:t xml:space="preserve"> new studies </w:t>
            </w:r>
            <w:proofErr w:type="gramStart"/>
            <w:r w:rsidR="004238D1" w:rsidRPr="00C2234B">
              <w:rPr>
                <w:bCs/>
              </w:rPr>
              <w:t>taking into account</w:t>
            </w:r>
            <w:proofErr w:type="gramEnd"/>
            <w:r w:rsidR="004238D1" w:rsidRPr="00C2234B">
              <w:rPr>
                <w:bCs/>
              </w:rPr>
              <w:t xml:space="preserve"> accurate modelling of the example FSS systems considered.</w:t>
            </w:r>
          </w:p>
        </w:tc>
      </w:tr>
    </w:tbl>
    <w:p w14:paraId="544704B2" w14:textId="77777777" w:rsidR="00591464" w:rsidRPr="00C2234B" w:rsidRDefault="00591464">
      <w:r w:rsidRPr="00C2234B">
        <w:br w:type="page"/>
      </w:r>
    </w:p>
    <w:bookmarkEnd w:id="0"/>
    <w:p w14:paraId="37A8508A" w14:textId="7694A9DA" w:rsidR="00971840" w:rsidRPr="00C2234B" w:rsidRDefault="00971840" w:rsidP="00C2234B">
      <w:pPr>
        <w:pStyle w:val="Heading1"/>
      </w:pPr>
      <w:r w:rsidRPr="00C2234B">
        <w:lastRenderedPageBreak/>
        <w:t>Study #XY</w:t>
      </w:r>
    </w:p>
    <w:p w14:paraId="47E8127F" w14:textId="3304E31E" w:rsidR="00F130B3" w:rsidRPr="00C2234B" w:rsidRDefault="00451472" w:rsidP="00451472">
      <w:r w:rsidRPr="00C2234B">
        <w:t>This study considers operational conditions of the FS as provided in doc 5C/2</w:t>
      </w:r>
      <w:r w:rsidR="00085B4D">
        <w:t>71</w:t>
      </w:r>
      <w:r w:rsidRPr="00C2234B">
        <w:t xml:space="preserve"> (Annex 2.</w:t>
      </w:r>
      <w:r w:rsidR="00085B4D">
        <w:t>4</w:t>
      </w:r>
      <w:r w:rsidRPr="00C2234B">
        <w:t>) and assuming 5</w:t>
      </w:r>
      <w:r w:rsidR="007812E0">
        <w:t>, 7.5 and 10</w:t>
      </w:r>
      <w:r w:rsidRPr="00C2234B">
        <w:t xml:space="preserve"> degrees as maximum elevation. With respect to the parameters of GSO and non-GSO systems (including minimum elevation, GSO exclusion zone, and max number of co-frequency beams at a specific location), the analysis considered cases with different operational conditions than those communicated by 4A </w:t>
      </w:r>
      <w:r w:rsidR="000A4640" w:rsidRPr="00C2234B">
        <w:t>as described below.</w:t>
      </w:r>
      <w:r w:rsidR="00D14566" w:rsidRPr="00C2234B">
        <w:t xml:space="preserve"> The various assumptions different from the 4A liaison statement are on purpose all worse than the parameters communicated by 4A. </w:t>
      </w:r>
      <w:r w:rsidR="000A4640" w:rsidRPr="00C2234B">
        <w:t xml:space="preserve"> </w:t>
      </w:r>
      <w:r w:rsidRPr="00C2234B">
        <w:t>Additionally, the methodology considers scenarios with propagation characteristics as per Doc. 5C/74 (guidance provided by WP 3J and 3M), as well as scenarios in clear sky.</w:t>
      </w:r>
      <w:r w:rsidR="00F130B3" w:rsidRPr="00C2234B">
        <w:t xml:space="preserve"> </w:t>
      </w:r>
    </w:p>
    <w:p w14:paraId="4EF9BCAA" w14:textId="62007DD4" w:rsidR="00451472" w:rsidRPr="00C2234B" w:rsidRDefault="00F130B3" w:rsidP="00451472">
      <w:r w:rsidRPr="00C2234B">
        <w:t>The statistics of the interference power against time for each power flux density (PFD) mask specified is calculated at each timestep using the method described below:</w:t>
      </w:r>
    </w:p>
    <w:p w14:paraId="1778B97F" w14:textId="2B9532C6" w:rsidR="00451472" w:rsidRPr="00C2234B" w:rsidRDefault="00B81515" w:rsidP="00F130B3">
      <w:pPr>
        <w:pStyle w:val="Equation"/>
        <w:rPr>
          <w:lang w:eastAsia="zh-CN"/>
        </w:rPr>
      </w:pPr>
      <w:r w:rsidRPr="00C2234B">
        <w:rPr>
          <w:lang w:eastAsia="zh-CN"/>
        </w:rPr>
        <w:tab/>
      </w:r>
    </w:p>
    <w:p w14:paraId="0D70ECB8" w14:textId="15C99253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1)</w:t>
      </w:r>
      <w:r w:rsidRPr="00C2234B">
        <w:rPr>
          <w:lang w:eastAsia="zh-CN"/>
        </w:rPr>
        <w:tab/>
      </w:r>
      <w:r w:rsidR="005038AE" w:rsidRPr="00C2234B">
        <w:rPr>
          <w:lang w:eastAsia="zh-CN"/>
        </w:rPr>
        <w:t>Collocate an FSS earth station (ES) with the terrestrial FS station.</w:t>
      </w:r>
    </w:p>
    <w:p w14:paraId="40360F6F" w14:textId="70FF3D10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2)</w:t>
      </w:r>
      <w:r w:rsidRPr="00C2234B">
        <w:rPr>
          <w:lang w:eastAsia="zh-CN"/>
        </w:rPr>
        <w:tab/>
        <w:t xml:space="preserve">Based on the parameters of the selected non-GSO systems, determine number of visible satellites to the FS station, 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</m:oMath>
      <w:r w:rsidR="00873B7E" w:rsidRPr="00C2234B">
        <w:rPr>
          <w:lang w:eastAsia="zh-CN"/>
        </w:rPr>
        <w:t xml:space="preserve"> (satellites above an</w:t>
      </w:r>
      <w:r w:rsidRPr="00C2234B">
        <w:rPr>
          <w:lang w:eastAsia="zh-CN"/>
        </w:rPr>
        <w:t xml:space="preserve"> elevation </w:t>
      </w:r>
      <w:r w:rsidR="0087716A" w:rsidRPr="00C2234B">
        <w:rPr>
          <w:lang w:eastAsia="zh-CN"/>
        </w:rPr>
        <w:t xml:space="preserve">angle </w:t>
      </w:r>
      <w:r w:rsidRPr="00C2234B">
        <w:rPr>
          <w:lang w:eastAsia="zh-CN"/>
        </w:rPr>
        <w:t>of 0°</w:t>
      </w:r>
      <w:r w:rsidR="00873B7E" w:rsidRPr="00C2234B">
        <w:rPr>
          <w:lang w:eastAsia="zh-CN"/>
        </w:rPr>
        <w:t>)</w:t>
      </w:r>
      <w:r w:rsidRPr="00C2234B">
        <w:rPr>
          <w:lang w:eastAsia="zh-CN"/>
        </w:rPr>
        <w:t>.</w:t>
      </w:r>
    </w:p>
    <w:p w14:paraId="74FADED3" w14:textId="0AD67086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3)</w:t>
      </w:r>
      <w:r w:rsidRPr="00C2234B">
        <w:rPr>
          <w:lang w:eastAsia="zh-CN"/>
        </w:rPr>
        <w:tab/>
        <w:t xml:space="preserve">Determine the pool of eligible satellites for each of the selected non-GSO systems complying with </w:t>
      </w:r>
      <w:r w:rsidR="0087716A" w:rsidRPr="00C2234B">
        <w:rPr>
          <w:lang w:eastAsia="zh-CN"/>
        </w:rPr>
        <w:t xml:space="preserve">the system-specific </w:t>
      </w:r>
      <w:r w:rsidRPr="00C2234B">
        <w:rPr>
          <w:lang w:eastAsia="zh-CN"/>
        </w:rPr>
        <w:t xml:space="preserve">minimum elevation angle, </w:t>
      </w:r>
      <m:oMath>
        <m:r>
          <w:rPr>
            <w:rFonts w:ascii="Cambria Math" w:hAnsi="Cambria Math"/>
            <w:lang w:eastAsia="zh-CN"/>
          </w:rPr>
          <m:t>ε</m:t>
        </m:r>
      </m:oMath>
      <w:r w:rsidRPr="00C2234B">
        <w:rPr>
          <w:vertAlign w:val="subscript"/>
        </w:rPr>
        <w:t xml:space="preserve">, </w:t>
      </w:r>
      <w:r w:rsidRPr="00C2234B">
        <w:rPr>
          <w:lang w:eastAsia="zh-CN"/>
        </w:rPr>
        <w:t xml:space="preserve">and minimum GSO exclusion angle, </w:t>
      </w:r>
      <m:oMath>
        <m:r>
          <w:rPr>
            <w:rFonts w:ascii="Cambria Math" w:hAnsi="Cambria Math"/>
            <w:lang w:eastAsia="zh-CN"/>
          </w:rPr>
          <m:t>α</m:t>
        </m:r>
      </m:oMath>
      <w:r w:rsidRPr="00C2234B">
        <w:rPr>
          <w:lang w:eastAsia="zh-CN"/>
        </w:rPr>
        <w:t xml:space="preserve"> at the ES location.</w:t>
      </w:r>
    </w:p>
    <w:p w14:paraId="57434C1F" w14:textId="62B5B5DE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4)</w:t>
      </w:r>
      <w:r w:rsidRPr="00C2234B">
        <w:rPr>
          <w:lang w:eastAsia="zh-CN"/>
        </w:rPr>
        <w:tab/>
        <w:t xml:space="preserve">Select maximum number of non-GSO satellites allowed to transmit with overlapping frequencies towards the same location on the ground,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  <m:r>
          <w:rPr>
            <w:rFonts w:ascii="Cambria Math" w:hAnsi="Cambria Math"/>
            <w:lang w:eastAsia="zh-CN"/>
          </w:rPr>
          <m:t>,</m:t>
        </m:r>
      </m:oMath>
      <w:r w:rsidRPr="00C2234B">
        <w:rPr>
          <w:lang w:eastAsia="zh-CN"/>
        </w:rPr>
        <w:t xml:space="preserve"> using random satellite selection strategy. </w:t>
      </w:r>
      <w:r w:rsidR="00CE67F7" w:rsidRPr="00C2234B">
        <w:rPr>
          <w:lang w:eastAsia="zh-CN"/>
        </w:rPr>
        <w:t xml:space="preserve">Determine the contribution from the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CE67F7" w:rsidRPr="00C2234B">
        <w:rPr>
          <w:lang w:eastAsia="zh-CN"/>
        </w:rPr>
        <w:t xml:space="preserve"> satellites to the FS station.</w:t>
      </w:r>
    </w:p>
    <w:p w14:paraId="6CB996CF" w14:textId="33567423" w:rsidR="00CE67F7" w:rsidRPr="00C2234B" w:rsidRDefault="00CE67F7" w:rsidP="00C2234B">
      <w:pPr>
        <w:pStyle w:val="Equation"/>
        <w:ind w:left="720"/>
        <w:rPr>
          <w:rFonts w:ascii="TimesNewRoman" w:hAnsi="TimesNewRoman"/>
          <w:lang w:val="en-US" w:eastAsia="zh-CN"/>
        </w:rPr>
      </w:pPr>
      <w:r w:rsidRPr="00C2234B">
        <w:rPr>
          <w:rFonts w:ascii="TimesNewRoman" w:hAnsi="TimesNewRoman"/>
          <w:lang w:val="en-US" w:eastAsia="zh-CN"/>
        </w:rPr>
        <w:tab/>
      </w:r>
      <w:r w:rsidR="00461F3C" w:rsidRPr="00C2234B">
        <w:rPr>
          <w:rFonts w:ascii="TimesNewRoman" w:hAnsi="TimesNewRoman"/>
          <w:lang w:val="en-US"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it-IT" w:eastAsia="zh-CN"/>
              </w:rPr>
            </m:ctrlPr>
          </m:sSubPr>
          <m:e>
            <m:r>
              <w:rPr>
                <w:rFonts w:ascii="Cambria Math" w:hAnsi="Cambria Math"/>
                <w:lang w:val="it-IT" w:eastAsia="zh-CN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it-IT" w:eastAsia="zh-CN"/>
                  </w:rPr>
                </m:ctrlPr>
              </m:sSubPr>
              <m:e>
                <m:r>
                  <w:rPr>
                    <w:rFonts w:ascii="Cambria Math" w:hAnsi="Cambria Math"/>
                    <w:lang w:val="it-IT" w:eastAsia="zh-CN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it-IT" w:eastAsia="zh-CN"/>
                  </w:rPr>
                  <m:t>co</m:t>
                </m:r>
              </m:sub>
            </m:sSub>
          </m:sub>
        </m:sSub>
        <m:r>
          <w:rPr>
            <w:rFonts w:ascii="Cambria Math" w:hAnsi="Cambria Math"/>
            <w:lang w:eastAsia="zh-CN"/>
          </w:rPr>
          <m:t>= PFD</m:t>
        </m:r>
        <m:r>
          <m:rPr>
            <m:sty m:val="p"/>
          </m:rPr>
          <w:rPr>
            <w:rFonts w:ascii="Cambria Math" w:hAnsi="Cambria Math"/>
            <w:lang w:val="en-US" w:eastAsia="zh-CN"/>
          </w:rPr>
          <m:t>-10</m:t>
        </m:r>
        <m:func>
          <m:funcPr>
            <m:ctrlPr>
              <w:rPr>
                <w:rFonts w:ascii="Cambria Math" w:hAnsi="Cambria Math"/>
                <w:lang w:eastAsia="zh-CN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eastAsia="zh-CN"/>
                  </w:rPr>
                </m:ctrlPr>
              </m:sSubPr>
              <m:e>
                <m:r>
                  <w:rPr>
                    <w:rFonts w:ascii="Cambria Math" w:hAnsi="Cambria Math"/>
                    <w:lang w:eastAsia="zh-CN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zh-CN"/>
                  </w:rPr>
                  <m:t>10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zh-CN"/>
                      </w:rPr>
                      <m:t>4</m:t>
                    </m:r>
                    <m:r>
                      <w:rPr>
                        <w:rFonts w:ascii="Cambria Math" w:hAnsi="Cambria Math"/>
                        <w:lang w:eastAsia="zh-CN"/>
                      </w:rPr>
                      <m:t>π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C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eastAsia="zh-CN"/>
                          </w:rPr>
                          <m:t>λ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 w:eastAsia="zh-CN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func>
        <m:r>
          <m:rPr>
            <m:sty m:val="p"/>
          </m:rPr>
          <w:rPr>
            <w:rFonts w:ascii="Cambria Math" w:hAnsi="Cambria Math"/>
            <w:lang w:val="en-US" w:eastAsia="zh-CN"/>
          </w:rPr>
          <m:t>+</m:t>
        </m:r>
        <m:r>
          <w:rPr>
            <w:rFonts w:ascii="Cambria Math" w:hAnsi="Cambria Math"/>
            <w:lang w:eastAsia="zh-CN"/>
          </w:rPr>
          <m:t>G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α</m:t>
            </m:r>
          </m:e>
        </m:d>
      </m:oMath>
      <w:r w:rsidRPr="00C2234B">
        <w:rPr>
          <w:rFonts w:ascii="TimesNewRoman" w:hAnsi="TimesNewRoman"/>
          <w:lang w:val="en-US" w:eastAsia="zh-CN"/>
        </w:rPr>
        <w:t xml:space="preserve">            (eq. 1)</w:t>
      </w:r>
    </w:p>
    <w:p w14:paraId="26DB82CE" w14:textId="1E161674" w:rsidR="00CE67F7" w:rsidRPr="00C2234B" w:rsidRDefault="00CE67F7" w:rsidP="00C2234B">
      <w:pPr>
        <w:pStyle w:val="Equationlegend"/>
        <w:ind w:left="2761"/>
        <w:rPr>
          <w:lang w:eastAsia="zh-CN"/>
        </w:rPr>
      </w:pPr>
      <w:r w:rsidRPr="00C2234B">
        <w:rPr>
          <w:i/>
          <w:lang w:val="en-US" w:eastAsia="zh-CN"/>
        </w:rPr>
        <w:tab/>
      </w:r>
      <w:r w:rsidR="00461F3C" w:rsidRPr="00C2234B">
        <w:rPr>
          <w:i/>
          <w:lang w:val="en-US" w:eastAsia="zh-CN"/>
        </w:rPr>
        <w:tab/>
      </w:r>
      <m:oMath>
        <m:r>
          <w:rPr>
            <w:rFonts w:ascii="Cambria Math" w:hAnsi="Cambria Math"/>
            <w:lang w:eastAsia="zh-CN"/>
          </w:rPr>
          <m:t>PFD</m:t>
        </m:r>
      </m:oMath>
      <w:r w:rsidRPr="00C2234B">
        <w:rPr>
          <w:lang w:eastAsia="zh-CN"/>
        </w:rPr>
        <w:t xml:space="preserve"> is the assumed power flux density at the Earth’s surface in </w:t>
      </w:r>
      <w:r w:rsidR="00461F3C" w:rsidRPr="00C2234B">
        <w:rPr>
          <w:lang w:eastAsia="zh-CN"/>
        </w:rPr>
        <w:t>d</w:t>
      </w:r>
      <w:r w:rsidRPr="00C2234B">
        <w:rPr>
          <w:lang w:eastAsia="zh-CN"/>
        </w:rPr>
        <w:t>B(W/m</w:t>
      </w:r>
      <w:r w:rsidRPr="00C2234B">
        <w:rPr>
          <w:vertAlign w:val="superscript"/>
          <w:lang w:eastAsia="zh-CN"/>
        </w:rPr>
        <w:t>2</w:t>
      </w:r>
      <w:r w:rsidRPr="00C2234B">
        <w:rPr>
          <w:lang w:eastAsia="zh-CN"/>
        </w:rPr>
        <w:t>/MHz)</w:t>
      </w:r>
    </w:p>
    <w:p w14:paraId="02DA547F" w14:textId="0A66D3D8" w:rsidR="00CE67F7" w:rsidRPr="00C2234B" w:rsidRDefault="00CE67F7" w:rsidP="00CE67F7">
      <w:pPr>
        <w:pStyle w:val="Equationlegend"/>
        <w:ind w:left="2761"/>
        <w:rPr>
          <w:lang w:eastAsia="zh-CN"/>
        </w:rPr>
      </w:pPr>
      <w:r w:rsidRPr="00C2234B">
        <w:rPr>
          <w:lang w:eastAsia="zh-CN"/>
        </w:rPr>
        <w:tab/>
      </w:r>
      <w:r w:rsidR="00461F3C" w:rsidRPr="00C2234B">
        <w:rPr>
          <w:lang w:eastAsia="zh-CN"/>
        </w:rPr>
        <w:tab/>
      </w:r>
      <m:oMath>
        <m:r>
          <w:rPr>
            <w:rFonts w:ascii="Cambria Math" w:hAnsi="Cambria Math"/>
            <w:lang w:eastAsia="zh-CN"/>
          </w:rPr>
          <m:t>λ</m:t>
        </m:r>
      </m:oMath>
      <w:r w:rsidR="00461F3C" w:rsidRPr="00C2234B">
        <w:rPr>
          <w:lang w:eastAsia="zh-CN"/>
        </w:rPr>
        <w:t xml:space="preserve"> </w:t>
      </w:r>
      <w:r w:rsidRPr="00C2234B">
        <w:rPr>
          <w:lang w:eastAsia="zh-CN"/>
        </w:rPr>
        <w:t>is the wavelength in meters</w:t>
      </w:r>
    </w:p>
    <w:p w14:paraId="51C744B6" w14:textId="3D937303" w:rsidR="006A4C25" w:rsidRPr="00C2234B" w:rsidRDefault="00343237" w:rsidP="00076185">
      <w:pPr>
        <w:pStyle w:val="Equationlegend"/>
        <w:rPr>
          <w:lang w:eastAsia="zh-CN"/>
        </w:rPr>
      </w:pPr>
      <w:r w:rsidRPr="00C2234B">
        <w:rPr>
          <w:lang w:eastAsia="zh-CN"/>
        </w:rPr>
        <w:tab/>
      </w:r>
      <w:r w:rsidRPr="00C2234B">
        <w:rPr>
          <w:lang w:eastAsia="zh-CN"/>
        </w:rPr>
        <w:tab/>
      </w:r>
      <m:oMath>
        <m:r>
          <w:rPr>
            <w:rFonts w:ascii="Cambria Math" w:hAnsi="Cambria Math"/>
            <w:lang w:eastAsia="zh-CN"/>
          </w:rPr>
          <m:t>G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α</m:t>
            </m:r>
          </m:e>
        </m:d>
      </m:oMath>
      <w:r w:rsidR="00CE67F7" w:rsidRPr="00C2234B">
        <w:rPr>
          <w:lang w:eastAsia="zh-CN"/>
        </w:rPr>
        <w:t xml:space="preserve"> is the gain of the FS receiving antenna at off-axis angle </w:t>
      </w:r>
      <m:oMath>
        <m:r>
          <w:rPr>
            <w:rFonts w:ascii="Cambria Math" w:hAnsi="Cambria Math"/>
            <w:lang w:eastAsia="zh-CN"/>
          </w:rPr>
          <m:t>α</m:t>
        </m:r>
      </m:oMath>
      <w:r w:rsidR="00CE67F7" w:rsidRPr="00C2234B">
        <w:rPr>
          <w:lang w:eastAsia="zh-CN"/>
        </w:rPr>
        <w:t xml:space="preserve"> degrees</w:t>
      </w:r>
    </w:p>
    <w:p w14:paraId="0ABCDF1F" w14:textId="77777777" w:rsidR="00CE67F7" w:rsidRPr="00C2234B" w:rsidRDefault="00CE67F7" w:rsidP="00451472">
      <w:pPr>
        <w:pStyle w:val="enumlev1"/>
        <w:rPr>
          <w:lang w:eastAsia="zh-CN"/>
        </w:rPr>
      </w:pPr>
    </w:p>
    <w:p w14:paraId="4BCC2AAF" w14:textId="1328EEBF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5)</w:t>
      </w:r>
      <w:r w:rsidRPr="00C2234B">
        <w:rPr>
          <w:lang w:eastAsia="zh-CN"/>
        </w:rPr>
        <w:tab/>
        <w:t xml:space="preserve">For the remaining visible 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  <m:r>
          <w:rPr>
            <w:rFonts w:ascii="Cambria Math" w:hAnsi="Cambria Math"/>
            <w:lang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satellites</w:t>
      </w:r>
      <w:r w:rsidR="00461F3C" w:rsidRPr="00C2234B">
        <w:rPr>
          <w:lang w:eastAsia="zh-CN"/>
        </w:rPr>
        <w:t xml:space="preserve"> (also known as non-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461F3C" w:rsidRPr="00C2234B">
        <w:rPr>
          <w:lang w:eastAsia="zh-CN"/>
        </w:rPr>
        <w:t xml:space="preserve"> satellites)</w:t>
      </w:r>
      <w:r w:rsidRPr="00C2234B">
        <w:rPr>
          <w:lang w:eastAsia="zh-CN"/>
        </w:rPr>
        <w:t>, determine contribution of the sidelobes towards</w:t>
      </w:r>
      <w:r w:rsidRPr="00C2234B">
        <w:rPr>
          <w:rStyle w:val="FootnoteReference"/>
          <w:lang w:eastAsia="zh-CN"/>
        </w:rPr>
        <w:footnoteReference w:id="1"/>
      </w:r>
      <w:r w:rsidRPr="00C2234B">
        <w:rPr>
          <w:lang w:eastAsia="zh-CN"/>
        </w:rPr>
        <w:t xml:space="preserve"> the </w:t>
      </w:r>
      <w:r w:rsidR="007C4B45" w:rsidRPr="00C2234B">
        <w:rPr>
          <w:lang w:eastAsia="zh-CN"/>
        </w:rPr>
        <w:t xml:space="preserve">FS station </w:t>
      </w:r>
      <w:r w:rsidRPr="00C2234B">
        <w:rPr>
          <w:lang w:eastAsia="zh-CN"/>
        </w:rPr>
        <w:t>assuming random placement of the beam</w:t>
      </w:r>
      <w:r w:rsidR="007C4B45" w:rsidRPr="00C2234B">
        <w:rPr>
          <w:lang w:eastAsia="zh-CN"/>
        </w:rPr>
        <w:t>s</w:t>
      </w:r>
      <w:r w:rsidRPr="00C2234B">
        <w:rPr>
          <w:lang w:eastAsia="zh-CN"/>
        </w:rPr>
        <w:t xml:space="preserve"> from the satellite with its </w:t>
      </w:r>
      <w:r w:rsidR="004F50B9" w:rsidRPr="00C2234B">
        <w:rPr>
          <w:lang w:eastAsia="zh-CN"/>
        </w:rPr>
        <w:t>field of view</w:t>
      </w:r>
      <w:r w:rsidRPr="00C2234B">
        <w:rPr>
          <w:lang w:eastAsia="zh-CN"/>
        </w:rPr>
        <w:t xml:space="preserve">. </w:t>
      </w:r>
    </w:p>
    <w:p w14:paraId="40C28CD8" w14:textId="5498F57D" w:rsidR="00CE67F7" w:rsidRPr="00C2234B" w:rsidRDefault="00CE67F7" w:rsidP="00CE67F7">
      <w:pPr>
        <w:pStyle w:val="Equation"/>
        <w:ind w:left="720"/>
        <w:rPr>
          <w:rFonts w:ascii="TimesNewRoman" w:hAnsi="TimesNewRoman"/>
          <w:lang w:val="en-US" w:eastAsia="zh-CN"/>
        </w:rPr>
      </w:pPr>
      <w:r w:rsidRPr="00C2234B">
        <w:rPr>
          <w:rFonts w:ascii="TimesNewRoman" w:hAnsi="TimesNewRoman"/>
          <w:lang w:val="en-US" w:eastAsia="zh-CN"/>
        </w:rPr>
        <w:t xml:space="preserve"> </w:t>
      </w:r>
      <w:r w:rsidR="00BC4046" w:rsidRPr="00C2234B">
        <w:rPr>
          <w:rFonts w:ascii="TimesNewRoman" w:hAnsi="TimesNewRoman"/>
          <w:lang w:val="en-US" w:eastAsia="zh-CN"/>
        </w:rPr>
        <w:tab/>
      </w:r>
      <m:oMath>
        <m:sSub>
          <m:sSubPr>
            <m:ctrlPr>
              <w:rPr>
                <w:rFonts w:ascii="Cambria Math" w:hAnsi="Cambria Math"/>
                <w:i/>
                <w:lang w:val="it-IT" w:eastAsia="zh-CN"/>
              </w:rPr>
            </m:ctrlPr>
          </m:sSubPr>
          <m:e>
            <m:r>
              <w:rPr>
                <w:rFonts w:ascii="Cambria Math" w:hAnsi="Cambria Math"/>
                <w:lang w:val="it-IT" w:eastAsia="zh-CN"/>
              </w:rPr>
              <m:t>I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it-IT" w:eastAsia="zh-CN"/>
                  </w:rPr>
                </m:ctrlPr>
              </m:sSubPr>
              <m:e>
                <m:r>
                  <w:rPr>
                    <w:rFonts w:ascii="Cambria Math" w:hAnsi="Cambria Math"/>
                    <w:lang w:val="it-IT" w:eastAsia="zh-CN"/>
                  </w:rPr>
                  <m:t>non</m:t>
                </m:r>
                <m:r>
                  <w:rPr>
                    <w:rFonts w:ascii="Cambria Math" w:hAnsi="Cambria Math"/>
                    <w:lang w:val="en-US" w:eastAsia="zh-CN"/>
                  </w:rPr>
                  <m:t>-</m:t>
                </m:r>
                <m:r>
                  <w:rPr>
                    <w:rFonts w:ascii="Cambria Math" w:hAnsi="Cambria Math"/>
                    <w:lang w:val="it-IT" w:eastAsia="zh-CN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it-IT" w:eastAsia="zh-CN"/>
                  </w:rPr>
                  <m:t>co</m:t>
                </m:r>
              </m:sub>
            </m:sSub>
          </m:sub>
        </m:sSub>
        <m:r>
          <w:rPr>
            <w:rFonts w:ascii="Cambria Math" w:hAnsi="Cambria Math"/>
            <w:lang w:eastAsia="zh-CN"/>
          </w:rPr>
          <m:t>= EIRP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lang w:val="en-US" w:eastAsia="zh-CN"/>
          </w:rPr>
          <m:t>-20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log</m:t>
            </m:r>
          </m:e>
          <m:sub>
            <m:r>
              <w:rPr>
                <w:rFonts w:ascii="Cambria Math" w:hAnsi="Cambria Math"/>
                <w:lang w:eastAsia="zh-CN"/>
              </w:rPr>
              <m:t>10</m:t>
            </m:r>
          </m:sub>
        </m:sSub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US" w:eastAsia="zh-CN"/>
                  </w:rPr>
                  <m:t>4</m:t>
                </m:r>
                <m:r>
                  <w:rPr>
                    <w:rFonts w:ascii="Cambria Math" w:hAnsi="Cambria Math"/>
                    <w:lang w:eastAsia="zh-CN"/>
                  </w:rPr>
                  <m:t>πd</m:t>
                </m:r>
              </m:num>
              <m:den>
                <m:r>
                  <w:rPr>
                    <w:rFonts w:ascii="Cambria Math" w:hAnsi="Cambria Math"/>
                    <w:lang w:eastAsia="zh-CN"/>
                  </w:rPr>
                  <m:t>λ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val="en-US"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lang w:eastAsia="zh-CN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en-US" w:eastAsia="zh-CN"/>
          </w:rPr>
          <m:t xml:space="preserve"> +</m:t>
        </m:r>
        <m:r>
          <w:rPr>
            <w:rFonts w:ascii="Cambria Math" w:hAnsi="Cambria Math"/>
            <w:lang w:eastAsia="zh-CN"/>
          </w:rPr>
          <m:t>G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α</m:t>
            </m:r>
          </m:e>
        </m:d>
      </m:oMath>
      <w:r w:rsidRPr="00C2234B">
        <w:rPr>
          <w:rFonts w:ascii="TimesNewRoman" w:hAnsi="TimesNewRoman"/>
          <w:lang w:val="en-US" w:eastAsia="zh-CN"/>
        </w:rPr>
        <w:t xml:space="preserve">            (eq. 2</w:t>
      </w:r>
      <w:r w:rsidR="006A4C25" w:rsidRPr="00C2234B">
        <w:rPr>
          <w:rFonts w:ascii="TimesNewRoman" w:hAnsi="TimesNewRoman"/>
          <w:lang w:val="it-IT" w:eastAsia="zh-CN"/>
        </w:rPr>
        <w:fldChar w:fldCharType="begin"/>
      </w:r>
      <w:r w:rsidR="006A4C25" w:rsidRPr="00C2234B">
        <w:rPr>
          <w:rFonts w:ascii="TimesNewRoman" w:hAnsi="TimesNewRoman"/>
          <w:lang w:val="en-US" w:eastAsia="zh-CN"/>
        </w:rPr>
        <w:instrText xml:space="preserve"> NOTEREF _Ref210992595 \f \h </w:instrText>
      </w:r>
      <w:r w:rsidR="00C2234B" w:rsidRPr="00335D9F">
        <w:rPr>
          <w:rFonts w:ascii="TimesNewRoman" w:hAnsi="TimesNewRoman"/>
          <w:lang w:val="en-US" w:eastAsia="zh-CN"/>
        </w:rPr>
        <w:instrText xml:space="preserve"> \* MERGEFORMAT </w:instrText>
      </w:r>
      <w:r w:rsidR="006A4C25" w:rsidRPr="00C2234B">
        <w:rPr>
          <w:rFonts w:ascii="TimesNewRoman" w:hAnsi="TimesNewRoman"/>
          <w:lang w:val="it-IT" w:eastAsia="zh-CN"/>
        </w:rPr>
      </w:r>
      <w:r w:rsidR="006A4C25" w:rsidRPr="00C2234B">
        <w:rPr>
          <w:rFonts w:ascii="TimesNewRoman" w:hAnsi="TimesNewRoman"/>
          <w:lang w:val="it-IT" w:eastAsia="zh-CN"/>
        </w:rPr>
        <w:fldChar w:fldCharType="separate"/>
      </w:r>
      <w:r w:rsidR="006A4C25" w:rsidRPr="00C2234B">
        <w:rPr>
          <w:rStyle w:val="FootnoteReference"/>
        </w:rPr>
        <w:t>1</w:t>
      </w:r>
      <w:r w:rsidR="006A4C25" w:rsidRPr="00C2234B">
        <w:rPr>
          <w:rFonts w:ascii="TimesNewRoman" w:hAnsi="TimesNewRoman"/>
          <w:lang w:val="it-IT" w:eastAsia="zh-CN"/>
        </w:rPr>
        <w:fldChar w:fldCharType="end"/>
      </w:r>
      <w:r w:rsidRPr="00C2234B">
        <w:rPr>
          <w:rFonts w:ascii="TimesNewRoman" w:hAnsi="TimesNewRoman"/>
          <w:lang w:val="en-US" w:eastAsia="zh-CN"/>
        </w:rPr>
        <w:t>)</w:t>
      </w:r>
    </w:p>
    <w:p w14:paraId="02A20D1E" w14:textId="4A0B1031" w:rsidR="00CE67F7" w:rsidRPr="00C2234B" w:rsidRDefault="00CE67F7" w:rsidP="00CE67F7">
      <w:pPr>
        <w:pStyle w:val="Equationlegend"/>
        <w:ind w:left="2761"/>
        <w:rPr>
          <w:lang w:eastAsia="zh-CN"/>
        </w:rPr>
      </w:pPr>
      <w:r w:rsidRPr="00C2234B">
        <w:rPr>
          <w:i/>
          <w:lang w:val="en-US" w:eastAsia="zh-CN"/>
        </w:rPr>
        <w:tab/>
      </w:r>
      <w:r w:rsidR="00BC4046" w:rsidRPr="00C2234B">
        <w:rPr>
          <w:i/>
          <w:lang w:val="en-US" w:eastAsia="zh-CN"/>
        </w:rPr>
        <w:tab/>
      </w:r>
      <m:oMath>
        <m:r>
          <w:rPr>
            <w:rFonts w:ascii="Cambria Math" w:hAnsi="Cambria Math"/>
            <w:lang w:eastAsia="zh-CN"/>
          </w:rPr>
          <m:t>EIRP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θ</m:t>
            </m:r>
          </m:e>
        </m:d>
      </m:oMath>
      <w:r w:rsidRPr="00C2234B">
        <w:rPr>
          <w:lang w:eastAsia="zh-CN"/>
        </w:rPr>
        <w:t xml:space="preserve"> is the assumed </w:t>
      </w:r>
      <w:r w:rsidR="00B34959" w:rsidRPr="00C2234B">
        <w:rPr>
          <w:lang w:eastAsia="zh-CN"/>
        </w:rPr>
        <w:t xml:space="preserve">effective isotropic radiated </w:t>
      </w:r>
      <w:r w:rsidRPr="00C2234B">
        <w:rPr>
          <w:lang w:eastAsia="zh-CN"/>
        </w:rPr>
        <w:t xml:space="preserve">density </w:t>
      </w:r>
      <w:r w:rsidR="006A4C25" w:rsidRPr="00C2234B">
        <w:rPr>
          <w:lang w:eastAsia="zh-CN"/>
        </w:rPr>
        <w:t>from the non-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6A4C25" w:rsidRPr="00C2234B">
        <w:rPr>
          <w:lang w:eastAsia="zh-CN"/>
        </w:rPr>
        <w:t xml:space="preserve"> satellite to the FS station</w:t>
      </w:r>
      <w:r w:rsidRPr="00C2234B">
        <w:rPr>
          <w:lang w:eastAsia="zh-CN"/>
        </w:rPr>
        <w:t xml:space="preserve"> </w:t>
      </w:r>
      <w:r w:rsidR="006A4C25" w:rsidRPr="00C2234B">
        <w:rPr>
          <w:lang w:eastAsia="zh-CN"/>
        </w:rPr>
        <w:t>direction</w:t>
      </w:r>
      <w:r w:rsidRPr="00C2234B">
        <w:rPr>
          <w:lang w:eastAsia="zh-CN"/>
        </w:rPr>
        <w:t xml:space="preserve"> </w:t>
      </w:r>
      <w:r w:rsidR="006A4C25" w:rsidRPr="00C2234B">
        <w:rPr>
          <w:lang w:eastAsia="zh-CN"/>
        </w:rPr>
        <w:t xml:space="preserve">in </w:t>
      </w:r>
      <w:r w:rsidRPr="00C2234B">
        <w:rPr>
          <w:lang w:eastAsia="zh-CN"/>
        </w:rPr>
        <w:t>dB(W/MHz)</w:t>
      </w:r>
      <w:r w:rsidR="00FA315B" w:rsidRPr="00C2234B">
        <w:rPr>
          <w:lang w:eastAsia="zh-CN"/>
        </w:rPr>
        <w:t xml:space="preserve"> at off-axis angle </w:t>
      </w:r>
      <m:oMath>
        <m:r>
          <w:rPr>
            <w:rFonts w:ascii="Cambria Math" w:hAnsi="Cambria Math"/>
            <w:lang w:eastAsia="zh-CN"/>
          </w:rPr>
          <m:t>θ</m:t>
        </m:r>
      </m:oMath>
      <w:r w:rsidR="00FA315B" w:rsidRPr="00C2234B">
        <w:rPr>
          <w:lang w:eastAsia="zh-CN"/>
        </w:rPr>
        <w:t xml:space="preserve"> degrees</w:t>
      </w:r>
    </w:p>
    <w:p w14:paraId="1DDDF8CA" w14:textId="2D8593ED" w:rsidR="00CE67F7" w:rsidRPr="00C2234B" w:rsidRDefault="00CE67F7" w:rsidP="00CE67F7">
      <w:pPr>
        <w:pStyle w:val="Equationlegend"/>
        <w:ind w:left="2761"/>
        <w:rPr>
          <w:lang w:eastAsia="zh-CN"/>
        </w:rPr>
      </w:pPr>
      <w:r w:rsidRPr="00C2234B">
        <w:rPr>
          <w:lang w:eastAsia="zh-CN"/>
        </w:rPr>
        <w:tab/>
      </w:r>
      <w:r w:rsidR="00BC4046" w:rsidRPr="00C2234B">
        <w:rPr>
          <w:lang w:eastAsia="zh-CN"/>
        </w:rPr>
        <w:tab/>
      </w:r>
      <m:oMath>
        <m:r>
          <w:rPr>
            <w:rFonts w:ascii="Cambria Math" w:hAnsi="Cambria Math"/>
            <w:lang w:eastAsia="zh-CN"/>
          </w:rPr>
          <m:t xml:space="preserve">λ </m:t>
        </m:r>
      </m:oMath>
      <w:r w:rsidRPr="00C2234B">
        <w:rPr>
          <w:lang w:eastAsia="zh-CN"/>
        </w:rPr>
        <w:t>is the wavelength in meters</w:t>
      </w:r>
    </w:p>
    <w:p w14:paraId="4420C4EF" w14:textId="10199B49" w:rsidR="00BC4046" w:rsidRPr="00C2234B" w:rsidRDefault="00BC4046" w:rsidP="00CE67F7">
      <w:pPr>
        <w:pStyle w:val="Equationlegend"/>
        <w:ind w:left="2761"/>
        <w:rPr>
          <w:lang w:eastAsia="zh-CN"/>
        </w:rPr>
      </w:pPr>
      <w:r w:rsidRPr="00C2234B">
        <w:rPr>
          <w:lang w:eastAsia="zh-CN"/>
        </w:rPr>
        <w:lastRenderedPageBreak/>
        <w:tab/>
      </w:r>
      <w:r w:rsidRPr="00C2234B">
        <w:rPr>
          <w:lang w:eastAsia="zh-CN"/>
        </w:rPr>
        <w:tab/>
      </w:r>
      <m:oMath>
        <m:r>
          <w:rPr>
            <w:rFonts w:ascii="Cambria Math" w:hAnsi="Cambria Math"/>
            <w:lang w:eastAsia="zh-CN"/>
          </w:rPr>
          <m:t xml:space="preserve"> d </m:t>
        </m:r>
      </m:oMath>
      <w:r w:rsidRPr="00C2234B">
        <w:rPr>
          <w:lang w:eastAsia="zh-CN"/>
        </w:rPr>
        <w:t xml:space="preserve">is the </w:t>
      </w:r>
      <w:r w:rsidR="00B34959" w:rsidRPr="00C2234B">
        <w:rPr>
          <w:lang w:eastAsia="zh-CN"/>
        </w:rPr>
        <w:t>distance between</w:t>
      </w:r>
      <w:r w:rsidRPr="00C2234B">
        <w:rPr>
          <w:lang w:eastAsia="zh-CN"/>
        </w:rPr>
        <w:t xml:space="preserve"> </w:t>
      </w:r>
      <w:r w:rsidR="00B34959" w:rsidRPr="00C2234B">
        <w:rPr>
          <w:lang w:eastAsia="zh-CN"/>
        </w:rPr>
        <w:t>the non-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B34959" w:rsidRPr="00C2234B">
        <w:rPr>
          <w:lang w:eastAsia="zh-CN"/>
        </w:rPr>
        <w:t xml:space="preserve"> satellite and FS station </w:t>
      </w:r>
      <w:r w:rsidRPr="00C2234B">
        <w:rPr>
          <w:lang w:eastAsia="zh-CN"/>
        </w:rPr>
        <w:t>in meters</w:t>
      </w:r>
    </w:p>
    <w:p w14:paraId="679E1C66" w14:textId="314FE0CC" w:rsidR="00CE67F7" w:rsidRPr="00C2234B" w:rsidRDefault="00CE67F7" w:rsidP="00C2234B">
      <w:pPr>
        <w:pStyle w:val="Equationlegend"/>
        <w:rPr>
          <w:lang w:eastAsia="zh-CN"/>
        </w:rPr>
      </w:pPr>
      <w:r w:rsidRPr="00C2234B">
        <w:rPr>
          <w:i/>
          <w:lang w:eastAsia="zh-CN"/>
        </w:rPr>
        <w:tab/>
      </w:r>
      <w:r w:rsidR="00BC4046" w:rsidRPr="00C2234B">
        <w:rPr>
          <w:i/>
          <w:lang w:eastAsia="zh-CN"/>
        </w:rPr>
        <w:tab/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L</m:t>
            </m:r>
          </m:e>
          <m:sub>
            <m:r>
              <w:rPr>
                <w:rFonts w:ascii="Cambria Math" w:hAnsi="Cambria Math"/>
                <w:lang w:eastAsia="zh-CN"/>
              </w:rPr>
              <m:t>a</m:t>
            </m:r>
          </m:sub>
        </m:sSub>
      </m:oMath>
      <w:r w:rsidR="00BC4046" w:rsidRPr="00C2234B">
        <w:rPr>
          <w:i/>
          <w:lang w:eastAsia="zh-CN"/>
        </w:rPr>
        <w:t xml:space="preserve"> </w:t>
      </w:r>
      <w:r w:rsidR="00076185" w:rsidRPr="00C2234B">
        <w:rPr>
          <w:lang w:eastAsia="zh-CN"/>
        </w:rPr>
        <w:t xml:space="preserve">is the atmospheric loss (gaseous attenuation) experienced by </w:t>
      </w:r>
      <w:r w:rsidR="00D82353" w:rsidRPr="00C2234B">
        <w:rPr>
          <w:lang w:eastAsia="zh-CN"/>
        </w:rPr>
        <w:t>non-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D82353" w:rsidRPr="00C2234B">
        <w:rPr>
          <w:lang w:eastAsia="zh-CN"/>
        </w:rPr>
        <w:t xml:space="preserve"> </w:t>
      </w:r>
      <w:r w:rsidR="00076185" w:rsidRPr="00C2234B">
        <w:rPr>
          <w:lang w:eastAsia="zh-CN"/>
        </w:rPr>
        <w:t xml:space="preserve"> satellites of NGSO link when performing dynamic simulation. Such propagation loss should be considered based on ITU-R Recommendations ITU-R P.676 when applicable.</w:t>
      </w:r>
      <w:r w:rsidR="00343237" w:rsidRPr="00C2234B">
        <w:rPr>
          <w:lang w:eastAsia="zh-CN"/>
        </w:rPr>
        <w:t xml:space="preserve"> </w:t>
      </w:r>
    </w:p>
    <w:p w14:paraId="37B45CAE" w14:textId="77777777" w:rsidR="00CE67F7" w:rsidRPr="00C2234B" w:rsidRDefault="00CE67F7" w:rsidP="00CE67F7">
      <w:pPr>
        <w:pStyle w:val="Equationlegend"/>
        <w:ind w:left="2761"/>
        <w:rPr>
          <w:lang w:eastAsia="zh-CN"/>
        </w:rPr>
      </w:pPr>
      <w:r w:rsidRPr="00C2234B">
        <w:rPr>
          <w:lang w:eastAsia="zh-CN"/>
        </w:rPr>
        <w:tab/>
      </w:r>
      <w:r w:rsidRPr="00C2234B">
        <w:rPr>
          <w:lang w:eastAsia="zh-CN"/>
        </w:rPr>
        <w:tab/>
      </w:r>
      <m:oMath>
        <m:r>
          <w:rPr>
            <w:rFonts w:ascii="Cambria Math" w:hAnsi="Cambria Math"/>
            <w:lang w:eastAsia="zh-CN"/>
          </w:rPr>
          <m:t>G</m:t>
        </m:r>
        <m:d>
          <m:dPr>
            <m:ctrlPr>
              <w:rPr>
                <w:rFonts w:ascii="Cambria Math" w:hAnsi="Cambria Math"/>
                <w:lang w:eastAsia="zh-CN"/>
              </w:rPr>
            </m:ctrlPr>
          </m:dPr>
          <m:e>
            <m:r>
              <w:rPr>
                <w:rFonts w:ascii="Cambria Math" w:hAnsi="Cambria Math"/>
                <w:lang w:eastAsia="zh-CN"/>
              </w:rPr>
              <m:t>α</m:t>
            </m:r>
          </m:e>
        </m:d>
      </m:oMath>
      <w:r w:rsidRPr="00C2234B">
        <w:rPr>
          <w:lang w:eastAsia="zh-CN"/>
        </w:rPr>
        <w:t xml:space="preserve"> is the gain of the FS receiving antenna at off-axis angle </w:t>
      </w:r>
      <m:oMath>
        <m:r>
          <w:rPr>
            <w:rFonts w:ascii="Cambria Math" w:hAnsi="Cambria Math"/>
            <w:lang w:eastAsia="zh-CN"/>
          </w:rPr>
          <m:t>α</m:t>
        </m:r>
      </m:oMath>
      <w:r w:rsidRPr="00C2234B">
        <w:rPr>
          <w:lang w:eastAsia="zh-CN"/>
        </w:rPr>
        <w:t xml:space="preserve"> degrees</w:t>
      </w:r>
    </w:p>
    <w:p w14:paraId="67FD309B" w14:textId="6ECD33A9" w:rsidR="00CE67F7" w:rsidRPr="00C2234B" w:rsidRDefault="00CE67F7" w:rsidP="00451472">
      <w:pPr>
        <w:pStyle w:val="enumlev1"/>
        <w:rPr>
          <w:lang w:eastAsia="zh-CN"/>
        </w:rPr>
      </w:pPr>
    </w:p>
    <w:p w14:paraId="728E6B37" w14:textId="7C6894DF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6)</w:t>
      </w:r>
      <w:r w:rsidRPr="00C2234B">
        <w:rPr>
          <w:lang w:eastAsia="zh-CN"/>
        </w:rPr>
        <w:tab/>
        <w:t xml:space="preserve">Aggregate power levels received at the FS station by combining the received interference power from all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</m:oMath>
      <w:r w:rsidRPr="00C2234B">
        <w:rPr>
          <w:lang w:eastAsia="zh-CN"/>
        </w:rPr>
        <w:t xml:space="preserve"> satellites of the </w:t>
      </w:r>
      <w:r w:rsidR="00F704E7" w:rsidRPr="00C2234B">
        <w:rPr>
          <w:lang w:eastAsia="zh-CN"/>
        </w:rPr>
        <w:t xml:space="preserve">GSO and </w:t>
      </w:r>
      <w:r w:rsidRPr="00C2234B">
        <w:rPr>
          <w:lang w:eastAsia="zh-CN"/>
        </w:rPr>
        <w:t>non-GSO system</w:t>
      </w:r>
      <w:r w:rsidR="00F704E7" w:rsidRPr="00C2234B">
        <w:rPr>
          <w:lang w:eastAsia="zh-CN"/>
        </w:rPr>
        <w:t>s</w:t>
      </w:r>
      <w:r w:rsidRPr="00C2234B">
        <w:rPr>
          <w:lang w:eastAsia="zh-CN"/>
        </w:rPr>
        <w:t>.</w:t>
      </w:r>
    </w:p>
    <w:p w14:paraId="5CB40F8B" w14:textId="5B5E3F2B" w:rsidR="00451472" w:rsidRPr="00C2234B" w:rsidRDefault="00451472" w:rsidP="00451472">
      <w:pPr>
        <w:pStyle w:val="enumlev1"/>
        <w:rPr>
          <w:lang w:eastAsia="zh-CN"/>
        </w:rPr>
      </w:pPr>
      <w:r w:rsidRPr="00C2234B">
        <w:rPr>
          <w:lang w:eastAsia="zh-CN"/>
        </w:rPr>
        <w:t>7)</w:t>
      </w:r>
      <w:r w:rsidRPr="00C2234B">
        <w:rPr>
          <w:lang w:eastAsia="zh-CN"/>
        </w:rPr>
        <w:tab/>
        <w:t>Aggregate power levels received at a FS station by combining the received interference power from the selected GSO and non-GSO systems. The FS station effective system noise temperature is also increased with atmospheric attenuation according to equation (69) in ITU-R P.618-14</w:t>
      </w:r>
      <w:r w:rsidR="00D82353" w:rsidRPr="00C2234B">
        <w:rPr>
          <w:lang w:eastAsia="zh-CN"/>
        </w:rPr>
        <w:t xml:space="preserve"> and ITU-R P.676-13 Section 4,</w:t>
      </w:r>
      <w:r w:rsidR="00542DA5" w:rsidRPr="00C2234B">
        <w:rPr>
          <w:lang w:eastAsia="zh-CN"/>
        </w:rPr>
        <w:t xml:space="preserve"> when atmospheric effect </w:t>
      </w:r>
      <w:r w:rsidR="00D82353" w:rsidRPr="00C2234B">
        <w:rPr>
          <w:lang w:eastAsia="zh-CN"/>
        </w:rPr>
        <w:t>(gaseous attenuation) is</w:t>
      </w:r>
      <w:r w:rsidR="00542DA5" w:rsidRPr="00C2234B">
        <w:rPr>
          <w:lang w:eastAsia="zh-CN"/>
        </w:rPr>
        <w:t xml:space="preserve"> </w:t>
      </w:r>
      <w:r w:rsidR="009D1853" w:rsidRPr="00C2234B">
        <w:rPr>
          <w:lang w:eastAsia="zh-CN"/>
        </w:rPr>
        <w:t>considered</w:t>
      </w:r>
      <w:r w:rsidR="00542DA5" w:rsidRPr="00C2234B">
        <w:rPr>
          <w:lang w:eastAsia="zh-CN"/>
        </w:rPr>
        <w:t xml:space="preserve"> in simulation</w:t>
      </w:r>
      <w:r w:rsidRPr="00C2234B">
        <w:rPr>
          <w:lang w:eastAsia="zh-CN"/>
        </w:rPr>
        <w:t xml:space="preserve">.  </w:t>
      </w:r>
    </w:p>
    <w:p w14:paraId="00E68D8C" w14:textId="77777777" w:rsidR="009D1853" w:rsidRPr="00C2234B" w:rsidRDefault="009D1853" w:rsidP="00451472"/>
    <w:p w14:paraId="1360DC53" w14:textId="05F10F08" w:rsidR="00305A90" w:rsidRDefault="00305A90" w:rsidP="00305A90">
      <w:pPr>
        <w:pStyle w:val="Heading2"/>
      </w:pPr>
      <w:r w:rsidRPr="00C2234B">
        <w:t>Parameters of the Selected GSO and non-GSO Systems</w:t>
      </w:r>
    </w:p>
    <w:p w14:paraId="67CA13E3" w14:textId="1D319D00" w:rsidR="00451472" w:rsidRPr="00C2234B" w:rsidRDefault="00451472" w:rsidP="00451472">
      <w:r w:rsidRPr="00C2234B">
        <w:t xml:space="preserve">The selected parameters of the selected GSO and there non-GSO systems are shown in </w:t>
      </w:r>
      <w:r w:rsidR="00465020" w:rsidRPr="00C2234B">
        <w:t xml:space="preserve">Table </w:t>
      </w:r>
      <w:r w:rsidR="00220983">
        <w:t>1</w:t>
      </w:r>
      <w:r w:rsidRPr="00C2234B">
        <w:t xml:space="preserve">. According to the WP4A guidance, 1.5° minimum angular separation is used among the three non-GSO systems’ beams serving the same location on Earth. </w:t>
      </w:r>
    </w:p>
    <w:p w14:paraId="2696417F" w14:textId="63551ED8" w:rsidR="00293571" w:rsidRPr="00C2234B" w:rsidRDefault="00293571" w:rsidP="00293571">
      <w:pPr>
        <w:pStyle w:val="TableNo"/>
        <w:rPr>
          <w:b/>
          <w:bCs/>
          <w:i/>
        </w:rPr>
      </w:pPr>
      <w:r w:rsidRPr="00C2234B">
        <w:rPr>
          <w:b/>
          <w:bCs/>
        </w:rPr>
        <w:t xml:space="preserve">Table </w:t>
      </w:r>
      <w:r w:rsidR="00220983">
        <w:rPr>
          <w:b/>
          <w:bCs/>
        </w:rPr>
        <w:t>1</w:t>
      </w:r>
      <w:r w:rsidR="0045131F" w:rsidRPr="00C2234B">
        <w:rPr>
          <w:rStyle w:val="FootnoteReference"/>
          <w:b/>
          <w:bCs/>
        </w:rPr>
        <w:footnoteReference w:id="2"/>
      </w:r>
    </w:p>
    <w:p w14:paraId="6D5B6C9E" w14:textId="77777777" w:rsidR="00293571" w:rsidRDefault="00293571" w:rsidP="00293571">
      <w:pPr>
        <w:pStyle w:val="Tabletitle"/>
      </w:pPr>
      <w:r w:rsidRPr="00C2234B">
        <w:t>Parameters of the Selected GSO and non-GSO Systems (as per 4A guidance)</w:t>
      </w:r>
    </w:p>
    <w:tbl>
      <w:tblPr>
        <w:tblStyle w:val="GridTable1Light"/>
        <w:tblW w:w="8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2"/>
        <w:gridCol w:w="1170"/>
        <w:gridCol w:w="1083"/>
        <w:gridCol w:w="1351"/>
        <w:gridCol w:w="1262"/>
        <w:gridCol w:w="1167"/>
        <w:gridCol w:w="1169"/>
      </w:tblGrid>
      <w:tr w:rsidR="002D6D96" w:rsidRPr="001450BF" w14:paraId="27579411" w14:textId="77777777" w:rsidTr="00895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Align w:val="center"/>
            <w:hideMark/>
          </w:tcPr>
          <w:p w14:paraId="6CE50AB4" w14:textId="77777777" w:rsidR="002D6D96" w:rsidRPr="001450BF" w:rsidRDefault="002D6D96" w:rsidP="00895AFA">
            <w:pPr>
              <w:pStyle w:val="Tablehead"/>
            </w:pPr>
            <w:r w:rsidRPr="001450BF">
              <w:t>GSO/Non-GSO System</w:t>
            </w:r>
          </w:p>
        </w:tc>
        <w:tc>
          <w:tcPr>
            <w:tcW w:w="1170" w:type="dxa"/>
            <w:vAlign w:val="center"/>
          </w:tcPr>
          <w:p w14:paraId="29D87C20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Height</w:t>
            </w:r>
          </w:p>
          <w:p w14:paraId="711E9E48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(km)</w:t>
            </w:r>
          </w:p>
        </w:tc>
        <w:tc>
          <w:tcPr>
            <w:tcW w:w="1083" w:type="dxa"/>
            <w:vAlign w:val="center"/>
          </w:tcPr>
          <w:p w14:paraId="3EAB1503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Number of planes</w:t>
            </w:r>
          </w:p>
        </w:tc>
        <w:tc>
          <w:tcPr>
            <w:tcW w:w="1351" w:type="dxa"/>
            <w:vAlign w:val="center"/>
          </w:tcPr>
          <w:p w14:paraId="4451DA73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Satellites per plane</w:t>
            </w:r>
            <w:r w:rsidRPr="001450BF" w:rsidDel="007B26C5">
              <w:t xml:space="preserve"> </w:t>
            </w:r>
          </w:p>
        </w:tc>
        <w:tc>
          <w:tcPr>
            <w:tcW w:w="1262" w:type="dxa"/>
            <w:vAlign w:val="center"/>
          </w:tcPr>
          <w:p w14:paraId="133636C3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Inclination angle (</w:t>
            </w:r>
            <w:proofErr w:type="spellStart"/>
            <w:r w:rsidRPr="001450BF">
              <w:t>deg</w:t>
            </w:r>
            <w:proofErr w:type="spellEnd"/>
            <w:r w:rsidRPr="001450BF">
              <w:t>)</w:t>
            </w:r>
          </w:p>
        </w:tc>
        <w:tc>
          <w:tcPr>
            <w:tcW w:w="1167" w:type="dxa"/>
            <w:vAlign w:val="center"/>
          </w:tcPr>
          <w:p w14:paraId="21DF872C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 xml:space="preserve">Number of co-frequency beams,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co</m:t>
                  </m:r>
                </m:sub>
              </m:sSub>
            </m:oMath>
          </w:p>
        </w:tc>
        <w:tc>
          <w:tcPr>
            <w:tcW w:w="1169" w:type="dxa"/>
            <w:vAlign w:val="center"/>
          </w:tcPr>
          <w:p w14:paraId="17515C88" w14:textId="77777777" w:rsidR="002D6D96" w:rsidRPr="001450BF" w:rsidRDefault="002D6D96" w:rsidP="00895AFA">
            <w:pPr>
              <w:pStyle w:val="Table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 xml:space="preserve">Min. GSO Exclusion angle, </w:t>
            </w:r>
            <m:oMath>
              <m:r>
                <w:rPr>
                  <w:rFonts w:ascii="Cambria Math" w:hAnsi="Cambria Math"/>
                </w:rPr>
                <m:t>α</m:t>
              </m:r>
            </m:oMath>
          </w:p>
        </w:tc>
      </w:tr>
      <w:tr w:rsidR="002D6D96" w:rsidRPr="001450BF" w14:paraId="27A756A0" w14:textId="77777777" w:rsidTr="00895AF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Align w:val="center"/>
            <w:hideMark/>
          </w:tcPr>
          <w:p w14:paraId="65D80EAA" w14:textId="77777777" w:rsidR="002D6D96" w:rsidRPr="001450BF" w:rsidRDefault="002D6D96" w:rsidP="00895AFA">
            <w:pPr>
              <w:pStyle w:val="Tabletext"/>
              <w:rPr>
                <w:b w:val="0"/>
                <w:bCs w:val="0"/>
              </w:rPr>
            </w:pPr>
            <w:r w:rsidRPr="001450BF">
              <w:t>System-B (non-GSO)</w:t>
            </w:r>
          </w:p>
          <w:p w14:paraId="2CB77C55" w14:textId="77777777" w:rsidR="002D6D96" w:rsidRPr="001450BF" w:rsidRDefault="002D6D96" w:rsidP="00895AFA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162983ED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590, 610, 630</w:t>
            </w:r>
          </w:p>
        </w:tc>
        <w:tc>
          <w:tcPr>
            <w:tcW w:w="1083" w:type="dxa"/>
            <w:vAlign w:val="center"/>
          </w:tcPr>
          <w:p w14:paraId="51B6D3AB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28, 36, 34</w:t>
            </w:r>
          </w:p>
        </w:tc>
        <w:tc>
          <w:tcPr>
            <w:tcW w:w="1351" w:type="dxa"/>
            <w:vAlign w:val="center"/>
          </w:tcPr>
          <w:p w14:paraId="6DE32647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28, 36, 34</w:t>
            </w:r>
          </w:p>
        </w:tc>
        <w:tc>
          <w:tcPr>
            <w:tcW w:w="1262" w:type="dxa"/>
            <w:vAlign w:val="center"/>
          </w:tcPr>
          <w:p w14:paraId="3E4065DB" w14:textId="77777777" w:rsidR="002D6D96" w:rsidRPr="001450BF" w:rsidDel="005D4661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33, 42, 51.9</w:t>
            </w:r>
          </w:p>
        </w:tc>
        <w:tc>
          <w:tcPr>
            <w:tcW w:w="1167" w:type="dxa"/>
            <w:vAlign w:val="center"/>
          </w:tcPr>
          <w:p w14:paraId="47906A56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32</w:t>
            </w:r>
          </w:p>
        </w:tc>
        <w:tc>
          <w:tcPr>
            <w:tcW w:w="1169" w:type="dxa"/>
            <w:vAlign w:val="center"/>
          </w:tcPr>
          <w:p w14:paraId="0A4C2EAD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1°</w:t>
            </w:r>
          </w:p>
        </w:tc>
      </w:tr>
      <w:tr w:rsidR="002D6D96" w:rsidRPr="001450BF" w14:paraId="72B222CF" w14:textId="77777777" w:rsidTr="00895AF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Align w:val="center"/>
            <w:hideMark/>
          </w:tcPr>
          <w:p w14:paraId="59B2FF4E" w14:textId="77777777" w:rsidR="002D6D96" w:rsidRPr="001450BF" w:rsidRDefault="002D6D96" w:rsidP="00895AFA">
            <w:pPr>
              <w:pStyle w:val="Tabletext"/>
              <w:rPr>
                <w:b w:val="0"/>
                <w:bCs w:val="0"/>
              </w:rPr>
            </w:pPr>
            <w:r w:rsidRPr="001450BF">
              <w:t xml:space="preserve">18 GSO Systems </w:t>
            </w:r>
          </w:p>
          <w:p w14:paraId="42F9429B" w14:textId="77777777" w:rsidR="002D6D96" w:rsidRPr="001450BF" w:rsidRDefault="002D6D96" w:rsidP="00895AFA">
            <w:pPr>
              <w:pStyle w:val="Tabletext"/>
              <w:rPr>
                <w:b w:val="0"/>
                <w:bCs w:val="0"/>
              </w:rPr>
            </w:pPr>
            <w:r w:rsidRPr="001450BF">
              <w:t>(assumed)</w:t>
            </w:r>
          </w:p>
          <w:p w14:paraId="6F7D0408" w14:textId="77777777" w:rsidR="002D6D96" w:rsidRPr="001450BF" w:rsidRDefault="002D6D96" w:rsidP="00895AFA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2A108AF0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35786</w:t>
            </w:r>
          </w:p>
        </w:tc>
        <w:tc>
          <w:tcPr>
            <w:tcW w:w="1083" w:type="dxa"/>
            <w:vAlign w:val="center"/>
          </w:tcPr>
          <w:p w14:paraId="57AEDF8B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</w:t>
            </w:r>
          </w:p>
        </w:tc>
        <w:tc>
          <w:tcPr>
            <w:tcW w:w="1351" w:type="dxa"/>
            <w:vAlign w:val="center"/>
          </w:tcPr>
          <w:p w14:paraId="6AC2C6D6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</w:t>
            </w:r>
          </w:p>
        </w:tc>
        <w:tc>
          <w:tcPr>
            <w:tcW w:w="1262" w:type="dxa"/>
            <w:vAlign w:val="center"/>
          </w:tcPr>
          <w:p w14:paraId="4D52FCCC" w14:textId="77777777" w:rsidR="002D6D96" w:rsidRPr="001450BF" w:rsidDel="005D4661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0</w:t>
            </w:r>
          </w:p>
        </w:tc>
        <w:tc>
          <w:tcPr>
            <w:tcW w:w="1167" w:type="dxa"/>
            <w:vAlign w:val="center"/>
          </w:tcPr>
          <w:p w14:paraId="03B8FE06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</w:t>
            </w:r>
          </w:p>
        </w:tc>
        <w:tc>
          <w:tcPr>
            <w:tcW w:w="1169" w:type="dxa"/>
            <w:vAlign w:val="center"/>
          </w:tcPr>
          <w:p w14:paraId="6AF5CC79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N/A</w:t>
            </w:r>
          </w:p>
        </w:tc>
      </w:tr>
      <w:tr w:rsidR="002D6D96" w:rsidRPr="001450BF" w14:paraId="69DC789C" w14:textId="77777777" w:rsidTr="00895AFA">
        <w:trPr>
          <w:trHeight w:val="5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Align w:val="center"/>
            <w:hideMark/>
          </w:tcPr>
          <w:p w14:paraId="36EE4BEC" w14:textId="77777777" w:rsidR="002D6D96" w:rsidRPr="001450BF" w:rsidRDefault="002D6D96" w:rsidP="00895AFA">
            <w:pPr>
              <w:pStyle w:val="Tabletext"/>
            </w:pPr>
            <w:r w:rsidRPr="001450BF">
              <w:t>System-</w:t>
            </w:r>
            <w:proofErr w:type="gramStart"/>
            <w:r w:rsidRPr="001450BF">
              <w:t>D  (</w:t>
            </w:r>
            <w:proofErr w:type="gramEnd"/>
            <w:r w:rsidRPr="001450BF">
              <w:t>non-GSO)</w:t>
            </w:r>
          </w:p>
        </w:tc>
        <w:tc>
          <w:tcPr>
            <w:tcW w:w="1170" w:type="dxa"/>
            <w:vAlign w:val="center"/>
          </w:tcPr>
          <w:p w14:paraId="6EE365C9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1050</w:t>
            </w:r>
          </w:p>
        </w:tc>
        <w:tc>
          <w:tcPr>
            <w:tcW w:w="1083" w:type="dxa"/>
            <w:vAlign w:val="center"/>
          </w:tcPr>
          <w:p w14:paraId="24C4D40C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12</w:t>
            </w:r>
          </w:p>
        </w:tc>
        <w:tc>
          <w:tcPr>
            <w:tcW w:w="1351" w:type="dxa"/>
            <w:vAlign w:val="center"/>
          </w:tcPr>
          <w:p w14:paraId="2E0785EF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28</w:t>
            </w:r>
          </w:p>
        </w:tc>
        <w:tc>
          <w:tcPr>
            <w:tcW w:w="1262" w:type="dxa"/>
            <w:vAlign w:val="center"/>
          </w:tcPr>
          <w:p w14:paraId="71A9F6CA" w14:textId="77777777" w:rsidR="002D6D96" w:rsidRPr="001450BF" w:rsidDel="005D4661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89</w:t>
            </w:r>
          </w:p>
        </w:tc>
        <w:tc>
          <w:tcPr>
            <w:tcW w:w="1167" w:type="dxa"/>
            <w:vAlign w:val="center"/>
          </w:tcPr>
          <w:p w14:paraId="206DA2D7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8 (assumed)</w:t>
            </w:r>
          </w:p>
        </w:tc>
        <w:tc>
          <w:tcPr>
            <w:tcW w:w="1169" w:type="dxa"/>
            <w:vAlign w:val="center"/>
          </w:tcPr>
          <w:p w14:paraId="290CC489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1°</w:t>
            </w:r>
          </w:p>
        </w:tc>
      </w:tr>
      <w:tr w:rsidR="002D6D96" w:rsidRPr="001450BF" w14:paraId="0115E5DE" w14:textId="77777777" w:rsidTr="00895AF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Align w:val="center"/>
          </w:tcPr>
          <w:p w14:paraId="4A0BE564" w14:textId="77777777" w:rsidR="002D6D96" w:rsidRPr="001450BF" w:rsidRDefault="002D6D96" w:rsidP="00895AFA">
            <w:pPr>
              <w:pStyle w:val="Tabletext"/>
            </w:pPr>
            <w:r w:rsidRPr="001450BF">
              <w:t>System-L (non-GSO)</w:t>
            </w:r>
          </w:p>
        </w:tc>
        <w:tc>
          <w:tcPr>
            <w:tcW w:w="1170" w:type="dxa"/>
            <w:vAlign w:val="center"/>
          </w:tcPr>
          <w:p w14:paraId="456C1CAC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 xml:space="preserve">500, 500, 600, 600, 700, 700, 800, 800, 900, 900, 1000, 1000, 1100, 1100, 1200, 1200, 1300, 1300, </w:t>
            </w:r>
            <w:r w:rsidRPr="001450BF">
              <w:lastRenderedPageBreak/>
              <w:t>1400, 1400, 8100, 8100, 8100, 8100, 8100, 8100, 8100, 8100, 12000, 12000, 12000, 12000, 12000, 12000, 12000, 12000, 16000, 16000, 16000, 16000, 16000, 16000, 16000, 16000, 20000, 20000, 20000, 20000, 20000, 20000, 20000, 20000, 23222, 23222,</w:t>
            </w:r>
          </w:p>
        </w:tc>
        <w:tc>
          <w:tcPr>
            <w:tcW w:w="1083" w:type="dxa"/>
            <w:vAlign w:val="center"/>
          </w:tcPr>
          <w:p w14:paraId="5F94C92D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lastRenderedPageBreak/>
              <w:t xml:space="preserve">36, 36, 36, 36, 34, 34, 30, 30, 28, 28, 24, 24, 24, 24, 22, 24, 20, 20, 18, 18, 1, 12, 12, 12, 12, 12, 12, </w:t>
            </w:r>
            <w:r w:rsidRPr="001450BF">
              <w:lastRenderedPageBreak/>
              <w:t>12, 1, 12, 12, 12, 12, 12, 12, 12, 1, 12, 12, 12, 12, 12, 12, 12, 1, 12, 12, 12, 12, 12, 12, 12, 1, 12</w:t>
            </w:r>
          </w:p>
        </w:tc>
        <w:tc>
          <w:tcPr>
            <w:tcW w:w="1351" w:type="dxa"/>
            <w:vAlign w:val="center"/>
          </w:tcPr>
          <w:p w14:paraId="69F6A341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lastRenderedPageBreak/>
              <w:t xml:space="preserve">36, 36, 32, 32, 32, 32, 32, 32, 30, 30, 24, 24, 24, 24, 24, 24, 24, 24, 20, 20, 96, 10, 10, 10, 10, 10, 10, </w:t>
            </w:r>
            <w:r w:rsidRPr="001450BF">
              <w:lastRenderedPageBreak/>
              <w:t>10, 96, 10, 10, 10, 10, 10, 10, 10, 96, 10, 10, 10, 10, 10, 10, 10, 96, 10, 10, 10, 10, 10, 10, 10, 96, 9</w:t>
            </w:r>
          </w:p>
        </w:tc>
        <w:tc>
          <w:tcPr>
            <w:tcW w:w="1262" w:type="dxa"/>
            <w:vAlign w:val="center"/>
          </w:tcPr>
          <w:p w14:paraId="35E1E1A3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lastRenderedPageBreak/>
              <w:t xml:space="preserve">50, 85, 50, 85, 50, 85, 50, 85, 50, 85, 50, 85, 50, 85, 50, 89, 50, 85, 50, 85, 0, 15, 45, 60, 65, 70, 75, </w:t>
            </w:r>
            <w:r w:rsidRPr="001450BF">
              <w:lastRenderedPageBreak/>
              <w:t>80, 0, 15, 45, 60, 65, 70, 75, 80, 0, 15, 45, 60, 65, 70, 75, 80, 0, 15, 45, 60, 65, 70, 75, 80, 0, 56</w:t>
            </w:r>
          </w:p>
        </w:tc>
        <w:tc>
          <w:tcPr>
            <w:tcW w:w="1167" w:type="dxa"/>
            <w:vAlign w:val="center"/>
          </w:tcPr>
          <w:p w14:paraId="3599E8B5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lastRenderedPageBreak/>
              <w:t>10</w:t>
            </w:r>
          </w:p>
          <w:p w14:paraId="6C812DF6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(assumed)</w:t>
            </w:r>
          </w:p>
        </w:tc>
        <w:tc>
          <w:tcPr>
            <w:tcW w:w="1169" w:type="dxa"/>
            <w:vAlign w:val="center"/>
          </w:tcPr>
          <w:p w14:paraId="32CD17C6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1°</w:t>
            </w:r>
          </w:p>
        </w:tc>
      </w:tr>
      <w:tr w:rsidR="002D6D96" w:rsidRPr="001450BF" w14:paraId="0F37E22F" w14:textId="77777777" w:rsidTr="00895AF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vAlign w:val="center"/>
            <w:hideMark/>
          </w:tcPr>
          <w:p w14:paraId="40202E72" w14:textId="77777777" w:rsidR="002D6D96" w:rsidRPr="001450BF" w:rsidRDefault="002D6D96" w:rsidP="00895AFA">
            <w:pPr>
              <w:pStyle w:val="Tabletext"/>
              <w:rPr>
                <w:b w:val="0"/>
                <w:bCs w:val="0"/>
              </w:rPr>
            </w:pPr>
            <w:r w:rsidRPr="001450BF">
              <w:t>System-M (non-GSO)</w:t>
            </w:r>
          </w:p>
          <w:p w14:paraId="2DA2991E" w14:textId="77777777" w:rsidR="002D6D96" w:rsidRPr="001450BF" w:rsidRDefault="002D6D96" w:rsidP="00895AFA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51D8E0B3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340, 345, 350, 360, 525, 530, 535, 604, 614</w:t>
            </w:r>
          </w:p>
        </w:tc>
        <w:tc>
          <w:tcPr>
            <w:tcW w:w="1083" w:type="dxa"/>
            <w:vAlign w:val="center"/>
          </w:tcPr>
          <w:p w14:paraId="083113D7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12, 18, 48, 48, 48, 30, 28, 28, 28</w:t>
            </w:r>
          </w:p>
        </w:tc>
        <w:tc>
          <w:tcPr>
            <w:tcW w:w="1351" w:type="dxa"/>
            <w:vAlign w:val="center"/>
          </w:tcPr>
          <w:p w14:paraId="5DD2C64B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110, 110, 110, 120, 120, 120, 120, 12, 18</w:t>
            </w:r>
          </w:p>
        </w:tc>
        <w:tc>
          <w:tcPr>
            <w:tcW w:w="1262" w:type="dxa"/>
            <w:vAlign w:val="center"/>
          </w:tcPr>
          <w:p w14:paraId="7A0E0502" w14:textId="77777777" w:rsidR="002D6D96" w:rsidRPr="001450BF" w:rsidDel="005D4661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53, 46, 38, 97, 53, 43, 33, 148, 116</w:t>
            </w:r>
          </w:p>
        </w:tc>
        <w:tc>
          <w:tcPr>
            <w:tcW w:w="1167" w:type="dxa"/>
            <w:vAlign w:val="center"/>
          </w:tcPr>
          <w:p w14:paraId="06E30ECC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40</w:t>
            </w:r>
          </w:p>
          <w:p w14:paraId="4FBB5F55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(assumed)</w:t>
            </w:r>
          </w:p>
        </w:tc>
        <w:tc>
          <w:tcPr>
            <w:tcW w:w="1169" w:type="dxa"/>
            <w:vAlign w:val="center"/>
          </w:tcPr>
          <w:p w14:paraId="624514B2" w14:textId="77777777" w:rsidR="002D6D96" w:rsidRPr="001450BF" w:rsidRDefault="002D6D96" w:rsidP="00895AFA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0BF">
              <w:t>1°</w:t>
            </w:r>
          </w:p>
        </w:tc>
      </w:tr>
    </w:tbl>
    <w:p w14:paraId="4CDA77BC" w14:textId="77777777" w:rsidR="002D6D96" w:rsidRDefault="002D6D96" w:rsidP="002D6D96">
      <w:pPr>
        <w:pStyle w:val="Tabletext"/>
      </w:pPr>
    </w:p>
    <w:p w14:paraId="08F0C1DD" w14:textId="2C7F7A0E" w:rsidR="00323E60" w:rsidRPr="00C2234B" w:rsidRDefault="00971840" w:rsidP="00971840">
      <w:r w:rsidRPr="00C2234B">
        <w:t xml:space="preserve">This study considers </w:t>
      </w:r>
      <w:r w:rsidR="001D6BCA" w:rsidRPr="00C2234B">
        <w:t xml:space="preserve">the </w:t>
      </w:r>
      <w:r w:rsidR="00E42241" w:rsidRPr="00C2234B">
        <w:t>following operational conditions for the GSO and non-GSO systems</w:t>
      </w:r>
      <w:r w:rsidR="00CB1D86" w:rsidRPr="00C2234B">
        <w:t xml:space="preserve">: </w:t>
      </w:r>
    </w:p>
    <w:p w14:paraId="0630BF7F" w14:textId="45266EDF" w:rsidR="00323E60" w:rsidRDefault="00323E60" w:rsidP="00BB394D">
      <w:pPr>
        <w:pStyle w:val="ListParagraph"/>
        <w:numPr>
          <w:ilvl w:val="0"/>
          <w:numId w:val="8"/>
        </w:numPr>
      </w:pPr>
      <w:r w:rsidRPr="00C2234B">
        <w:t>T</w:t>
      </w:r>
      <w:r w:rsidR="00C20D4E" w:rsidRPr="00C2234B">
        <w:t>here is a total of</w:t>
      </w:r>
      <w:r w:rsidR="00971840" w:rsidRPr="00C2234B">
        <w:t xml:space="preserve"> </w:t>
      </w:r>
      <w:r w:rsidR="006F599F" w:rsidRPr="00C2234B">
        <w:t>18</w:t>
      </w:r>
      <w:r w:rsidR="00C7119E" w:rsidRPr="00C2234B">
        <w:t xml:space="preserve"> identical</w:t>
      </w:r>
      <w:r w:rsidR="00971840" w:rsidRPr="00C2234B">
        <w:t xml:space="preserve"> GSO system</w:t>
      </w:r>
      <w:r w:rsidR="00C7119E" w:rsidRPr="00C2234B">
        <w:t>s</w:t>
      </w:r>
      <w:r w:rsidR="002815AB" w:rsidRPr="00C2234B">
        <w:t xml:space="preserve"> along with the three non-GSO systems</w:t>
      </w:r>
      <w:r w:rsidR="00C20D4E" w:rsidRPr="00C2234B">
        <w:t>. The s</w:t>
      </w:r>
      <w:r w:rsidR="00971840" w:rsidRPr="00C2234B">
        <w:t xml:space="preserve">atellites are assumed to be </w:t>
      </w:r>
      <w:r w:rsidR="00C20D4E" w:rsidRPr="00C2234B">
        <w:t>spaced on the GSO arc every</w:t>
      </w:r>
      <w:r w:rsidR="00C7119E" w:rsidRPr="00C2234B">
        <w:t xml:space="preserve"> </w:t>
      </w:r>
      <w:r w:rsidR="006F599F" w:rsidRPr="00C2234B">
        <w:t>3</w:t>
      </w:r>
      <w:r w:rsidR="00C7119E" w:rsidRPr="00C2234B">
        <w:t>° between 2</w:t>
      </w:r>
      <w:r w:rsidR="002815AB" w:rsidRPr="00C2234B">
        <w:t>2</w:t>
      </w:r>
      <w:r w:rsidR="00C7119E" w:rsidRPr="00C2234B">
        <w:t>.5°W to 2</w:t>
      </w:r>
      <w:r w:rsidR="002815AB" w:rsidRPr="00C2234B">
        <w:t>8</w:t>
      </w:r>
      <w:r w:rsidR="00C7119E" w:rsidRPr="00C2234B">
        <w:t xml:space="preserve">.5°E. </w:t>
      </w:r>
    </w:p>
    <w:p w14:paraId="153D1175" w14:textId="77777777" w:rsidR="00715D45" w:rsidRPr="00C2234B" w:rsidRDefault="00715D45" w:rsidP="00715D45">
      <w:pPr>
        <w:pStyle w:val="ListParagraph"/>
      </w:pPr>
    </w:p>
    <w:p w14:paraId="3DFE7754" w14:textId="19D96FC5" w:rsidR="006F599F" w:rsidRPr="00C2234B" w:rsidRDefault="002F66BB" w:rsidP="002A4DBB">
      <w:pPr>
        <w:pStyle w:val="ListParagraph"/>
        <w:numPr>
          <w:ilvl w:val="0"/>
          <w:numId w:val="8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6F599F" w:rsidRPr="00C2234B">
        <w:rPr>
          <w:lang w:eastAsia="zh-CN"/>
        </w:rPr>
        <w:t xml:space="preserve"> of System-M is assumed to be </w:t>
      </w:r>
      <w:r w:rsidR="00220983">
        <w:rPr>
          <w:lang w:eastAsia="zh-CN"/>
        </w:rPr>
        <w:t>4</w:t>
      </w:r>
      <w:r w:rsidR="006F599F" w:rsidRPr="00C2234B">
        <w:rPr>
          <w:lang w:eastAsia="zh-CN"/>
        </w:rPr>
        <w:t>0.</w:t>
      </w:r>
    </w:p>
    <w:p w14:paraId="26A9EF1B" w14:textId="77777777" w:rsidR="00715D45" w:rsidRDefault="00715D45" w:rsidP="00A463DE">
      <w:pPr>
        <w:rPr>
          <w:lang w:eastAsia="zh-CN"/>
        </w:rPr>
      </w:pPr>
    </w:p>
    <w:p w14:paraId="263A9A1A" w14:textId="6EC386F7" w:rsidR="00305A90" w:rsidRDefault="00305A90" w:rsidP="00305A90">
      <w:pPr>
        <w:pStyle w:val="Heading2"/>
        <w:rPr>
          <w:lang w:eastAsia="zh-CN"/>
        </w:rPr>
      </w:pPr>
      <w:r>
        <w:rPr>
          <w:lang w:eastAsia="zh-CN"/>
        </w:rPr>
        <w:t xml:space="preserve">PFD </w:t>
      </w:r>
      <w:r w:rsidRPr="00C2234B">
        <w:t>mask</w:t>
      </w:r>
      <w:r>
        <w:t>s</w:t>
      </w:r>
    </w:p>
    <w:p w14:paraId="0DB74D6B" w14:textId="68A1E77D" w:rsidR="00733F27" w:rsidRPr="00C2234B" w:rsidRDefault="005003D3" w:rsidP="00A463DE">
      <w:r w:rsidRPr="00C2234B">
        <w:rPr>
          <w:lang w:eastAsia="zh-CN"/>
        </w:rPr>
        <w:t xml:space="preserve">Table </w:t>
      </w:r>
      <w:r w:rsidR="00715D45">
        <w:rPr>
          <w:lang w:eastAsia="zh-CN"/>
        </w:rPr>
        <w:t>2</w:t>
      </w:r>
      <w:r w:rsidR="003609F0">
        <w:rPr>
          <w:lang w:eastAsia="zh-CN"/>
        </w:rPr>
        <w:t xml:space="preserve"> </w:t>
      </w:r>
      <w:r w:rsidR="00982DA1">
        <w:rPr>
          <w:lang w:eastAsia="zh-CN"/>
        </w:rPr>
        <w:t>to</w:t>
      </w:r>
      <w:r w:rsidR="003609F0">
        <w:rPr>
          <w:lang w:eastAsia="zh-CN"/>
        </w:rPr>
        <w:t xml:space="preserve"> Table </w:t>
      </w:r>
      <w:r w:rsidR="00982DA1">
        <w:rPr>
          <w:lang w:eastAsia="zh-CN"/>
        </w:rPr>
        <w:t>5</w:t>
      </w:r>
      <w:r w:rsidRPr="00C2234B">
        <w:rPr>
          <w:lang w:eastAsia="zh-CN"/>
        </w:rPr>
        <w:t xml:space="preserve"> </w:t>
      </w:r>
      <w:r w:rsidR="00733F27" w:rsidRPr="00C2234B">
        <w:rPr>
          <w:lang w:eastAsia="zh-CN"/>
        </w:rPr>
        <w:t xml:space="preserve">lists </w:t>
      </w:r>
      <w:r w:rsidR="00733F27" w:rsidRPr="00C2234B">
        <w:t xml:space="preserve">the </w:t>
      </w:r>
      <w:proofErr w:type="spellStart"/>
      <w:r w:rsidR="00733F27" w:rsidRPr="00C2234B">
        <w:t>pfd</w:t>
      </w:r>
      <w:proofErr w:type="spellEnd"/>
      <w:r w:rsidR="00733F27" w:rsidRPr="00C2234B">
        <w:t xml:space="preserve"> mask used in the </w:t>
      </w:r>
      <w:r w:rsidRPr="00C2234B">
        <w:t xml:space="preserve">Study #XY </w:t>
      </w:r>
      <w:r w:rsidR="00733F27" w:rsidRPr="00C2234B">
        <w:t xml:space="preserve">for the selected GSO and non-GSO systems. All satellites that are in view of the FS station are assumed to be possibly interfering satellites for this study. The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733F27" w:rsidRPr="00C2234B">
        <w:t xml:space="preserve"> satellites transmitting towards the location of FS station are randomly selected from each set of prospective transmitting satellites. </w:t>
      </w:r>
    </w:p>
    <w:p w14:paraId="35B67ABA" w14:textId="6FA7B2C0" w:rsidR="00BC4F15" w:rsidRPr="00C2234B" w:rsidRDefault="00BC4F15" w:rsidP="00BC4F15">
      <w:pPr>
        <w:pStyle w:val="TableNo"/>
        <w:rPr>
          <w:i/>
        </w:rPr>
      </w:pPr>
      <w:r w:rsidRPr="00C2234B">
        <w:lastRenderedPageBreak/>
        <w:t>Table</w:t>
      </w:r>
      <w:r w:rsidR="005E0B73" w:rsidRPr="00C2234B">
        <w:t xml:space="preserve"> </w:t>
      </w:r>
      <w:r w:rsidR="003609F0">
        <w:t>2</w:t>
      </w:r>
      <w:r w:rsidRPr="00C2234B">
        <w:rPr>
          <w:iCs/>
        </w:rPr>
        <w:t xml:space="preserve"> </w:t>
      </w:r>
    </w:p>
    <w:p w14:paraId="348EF1EF" w14:textId="0C136CBB" w:rsidR="00BC4F15" w:rsidRPr="00C2234B" w:rsidRDefault="00BC4F15" w:rsidP="00BC4F15">
      <w:pPr>
        <w:pStyle w:val="Tabletitle"/>
        <w:rPr>
          <w:i/>
        </w:rPr>
      </w:pPr>
      <w:bookmarkStart w:id="2" w:name="_Hlk210125104"/>
      <w:r w:rsidRPr="00C2234B">
        <w:t>P</w:t>
      </w:r>
      <w:r w:rsidR="00715D45">
        <w:t>FD</w:t>
      </w:r>
      <w:r w:rsidRPr="00C2234B">
        <w:t xml:space="preserve"> masks for the Selected GSO systems</w:t>
      </w:r>
      <w:r w:rsidR="00715D45">
        <w:rPr>
          <w:rStyle w:val="FootnoteReference"/>
        </w:rPr>
        <w:footnoteReference w:id="3"/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5"/>
        <w:gridCol w:w="1715"/>
      </w:tblGrid>
      <w:tr w:rsidR="00220983" w:rsidRPr="00C2234B" w14:paraId="2C5A9130" w14:textId="77777777" w:rsidTr="00E309D0">
        <w:trPr>
          <w:trHeight w:val="300"/>
          <w:jc w:val="center"/>
        </w:trPr>
        <w:tc>
          <w:tcPr>
            <w:tcW w:w="6565" w:type="dxa"/>
            <w:noWrap/>
            <w:vAlign w:val="center"/>
          </w:tcPr>
          <w:p w14:paraId="5063647D" w14:textId="77777777" w:rsidR="00220983" w:rsidRPr="00C2234B" w:rsidRDefault="00220983" w:rsidP="00282BF6">
            <w:pPr>
              <w:pStyle w:val="Tablehead"/>
            </w:pPr>
            <w:bookmarkStart w:id="3" w:name="_Hlk210080575"/>
            <w:r w:rsidRPr="00C2234B">
              <w:t>PFD in dB(W/m</w:t>
            </w:r>
            <w:r w:rsidRPr="00C2234B">
              <w:rPr>
                <w:vertAlign w:val="superscript"/>
              </w:rPr>
              <w:t>2</w:t>
            </w:r>
            <w:r w:rsidRPr="00C2234B">
              <w:t>) for angles of arrival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δ</m:t>
              </m:r>
            </m:oMath>
            <w:r w:rsidRPr="00C2234B">
              <w:t xml:space="preserve">) </w:t>
            </w:r>
          </w:p>
          <w:p w14:paraId="1012F7CA" w14:textId="3C8DB747" w:rsidR="00220983" w:rsidRPr="00C2234B" w:rsidRDefault="00220983" w:rsidP="00282BF6">
            <w:pPr>
              <w:pStyle w:val="Tablehead"/>
            </w:pPr>
            <w:r w:rsidRPr="00C2234B">
              <w:t>above the horizontal plane</w:t>
            </w:r>
          </w:p>
        </w:tc>
        <w:tc>
          <w:tcPr>
            <w:tcW w:w="1715" w:type="dxa"/>
            <w:vMerge w:val="restart"/>
            <w:noWrap/>
            <w:vAlign w:val="center"/>
            <w:hideMark/>
          </w:tcPr>
          <w:p w14:paraId="42B8B4D5" w14:textId="77777777" w:rsidR="00220983" w:rsidRPr="00C2234B" w:rsidRDefault="00220983" w:rsidP="00282BF6">
            <w:pPr>
              <w:pStyle w:val="Tablehead"/>
            </w:pPr>
            <w:r w:rsidRPr="00C2234B">
              <w:t xml:space="preserve">Reference Bandwidth </w:t>
            </w:r>
          </w:p>
          <w:p w14:paraId="42FE2EEA" w14:textId="77777777" w:rsidR="00220983" w:rsidRPr="00C2234B" w:rsidRDefault="00220983" w:rsidP="00282BF6">
            <w:pPr>
              <w:pStyle w:val="Tablehead"/>
            </w:pPr>
          </w:p>
        </w:tc>
      </w:tr>
      <w:tr w:rsidR="00220983" w:rsidRPr="00C2234B" w14:paraId="24292D28" w14:textId="77777777" w:rsidTr="00E309D0">
        <w:trPr>
          <w:trHeight w:val="300"/>
          <w:jc w:val="center"/>
        </w:trPr>
        <w:tc>
          <w:tcPr>
            <w:tcW w:w="6565" w:type="dxa"/>
            <w:noWrap/>
            <w:vAlign w:val="center"/>
          </w:tcPr>
          <w:p w14:paraId="43591ABD" w14:textId="6DFEB2DF" w:rsidR="00220983" w:rsidRPr="00C2234B" w:rsidRDefault="00220983" w:rsidP="00282BF6">
            <w:pPr>
              <w:pStyle w:val="Tablehead"/>
              <w:rPr>
                <w:bCs/>
              </w:rPr>
            </w:pPr>
            <w:r>
              <w:rPr>
                <w:bCs/>
              </w:rPr>
              <w:t>0</w:t>
            </w:r>
            <w:r w:rsidRPr="00C2234B">
              <w:rPr>
                <w:bCs/>
              </w:rPr>
              <w:t>°-90°</w:t>
            </w:r>
          </w:p>
        </w:tc>
        <w:tc>
          <w:tcPr>
            <w:tcW w:w="1715" w:type="dxa"/>
            <w:vMerge/>
            <w:noWrap/>
            <w:vAlign w:val="center"/>
          </w:tcPr>
          <w:p w14:paraId="4C639A74" w14:textId="77777777" w:rsidR="00220983" w:rsidRPr="00C2234B" w:rsidRDefault="00220983" w:rsidP="00282BF6">
            <w:pPr>
              <w:pStyle w:val="Tablehead"/>
            </w:pPr>
          </w:p>
        </w:tc>
      </w:tr>
      <w:tr w:rsidR="00220983" w:rsidRPr="00C2234B" w14:paraId="7D54F9FD" w14:textId="77777777" w:rsidTr="00E309D0">
        <w:trPr>
          <w:trHeight w:val="300"/>
          <w:jc w:val="center"/>
        </w:trPr>
        <w:tc>
          <w:tcPr>
            <w:tcW w:w="6565" w:type="dxa"/>
            <w:noWrap/>
            <w:vAlign w:val="center"/>
          </w:tcPr>
          <w:p w14:paraId="7474FA67" w14:textId="5BE57B96" w:rsidR="00220983" w:rsidRPr="00C2234B" w:rsidRDefault="00220983" w:rsidP="00282BF6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</w:t>
            </w:r>
            <w:r>
              <w:rPr>
                <w:color w:val="000000"/>
              </w:rPr>
              <w:t>1</w:t>
            </w:r>
            <w:r w:rsidRPr="00C2234B">
              <w:rPr>
                <w:color w:val="000000"/>
              </w:rPr>
              <w:t>5</w:t>
            </w:r>
          </w:p>
        </w:tc>
        <w:tc>
          <w:tcPr>
            <w:tcW w:w="1715" w:type="dxa"/>
            <w:noWrap/>
            <w:vAlign w:val="center"/>
          </w:tcPr>
          <w:p w14:paraId="46B7340F" w14:textId="77777777" w:rsidR="00220983" w:rsidRPr="00C2234B" w:rsidRDefault="00220983" w:rsidP="00282BF6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1 MHz</w:t>
            </w:r>
          </w:p>
        </w:tc>
      </w:tr>
    </w:tbl>
    <w:bookmarkEnd w:id="2"/>
    <w:bookmarkEnd w:id="3"/>
    <w:p w14:paraId="57951D11" w14:textId="7365F8BF" w:rsidR="00F25F6E" w:rsidRDefault="00220983" w:rsidP="00220983">
      <w:pPr>
        <w:autoSpaceDE/>
        <w:adjustRightInd/>
        <w:spacing w:line="254" w:lineRule="auto"/>
        <w:ind w:left="4320"/>
      </w:pPr>
      <w:r>
        <w:br/>
      </w:r>
      <w:r w:rsidRPr="00C2234B">
        <w:t xml:space="preserve">Table </w:t>
      </w:r>
      <w:r w:rsidR="003609F0">
        <w:t>3</w:t>
      </w:r>
    </w:p>
    <w:p w14:paraId="01E4C48E" w14:textId="0D408766" w:rsidR="00220983" w:rsidRPr="00C2234B" w:rsidRDefault="00220983" w:rsidP="00220983">
      <w:pPr>
        <w:pStyle w:val="Tabletitle"/>
        <w:rPr>
          <w:i/>
        </w:rPr>
      </w:pPr>
      <w:r w:rsidRPr="00C2234B">
        <w:t>P</w:t>
      </w:r>
      <w:r w:rsidR="00715D45">
        <w:t>FD</w:t>
      </w:r>
      <w:r w:rsidRPr="00C2234B">
        <w:t xml:space="preserve"> masks for the Selected non-GSO systems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805"/>
        <w:gridCol w:w="1710"/>
        <w:gridCol w:w="1890"/>
        <w:gridCol w:w="900"/>
        <w:gridCol w:w="1730"/>
      </w:tblGrid>
      <w:tr w:rsidR="00807E4E" w:rsidRPr="00C2234B" w14:paraId="10FD23B0" w14:textId="77777777" w:rsidTr="00807E4E">
        <w:trPr>
          <w:trHeight w:val="300"/>
          <w:jc w:val="center"/>
        </w:trPr>
        <w:tc>
          <w:tcPr>
            <w:tcW w:w="1350" w:type="dxa"/>
            <w:vMerge w:val="restart"/>
            <w:noWrap/>
            <w:vAlign w:val="center"/>
            <w:hideMark/>
          </w:tcPr>
          <w:p w14:paraId="40552CF7" w14:textId="631A84D5" w:rsidR="00807E4E" w:rsidRPr="00C2234B" w:rsidRDefault="00807E4E" w:rsidP="00895AFA">
            <w:pPr>
              <w:pStyle w:val="Tablehead"/>
            </w:pPr>
            <w:r>
              <w:t xml:space="preserve">FS maximum elevation angle </w:t>
            </w:r>
          </w:p>
        </w:tc>
        <w:tc>
          <w:tcPr>
            <w:tcW w:w="5305" w:type="dxa"/>
            <w:gridSpan w:val="4"/>
          </w:tcPr>
          <w:p w14:paraId="1EAACE1C" w14:textId="43AFEF14" w:rsidR="00807E4E" w:rsidRPr="00C2234B" w:rsidRDefault="00807E4E" w:rsidP="00895AFA">
            <w:pPr>
              <w:pStyle w:val="Tablehead"/>
            </w:pPr>
            <w:r w:rsidRPr="00C2234B">
              <w:t>PFD in dB(W/m</w:t>
            </w:r>
            <w:r w:rsidRPr="00C2234B">
              <w:rPr>
                <w:vertAlign w:val="superscript"/>
              </w:rPr>
              <w:t>2</w:t>
            </w:r>
            <w:r w:rsidRPr="00C2234B">
              <w:t>) for angles of arrival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δ</m:t>
              </m:r>
            </m:oMath>
            <w:r w:rsidRPr="00C2234B">
              <w:t xml:space="preserve">) </w:t>
            </w:r>
          </w:p>
          <w:p w14:paraId="19B1D281" w14:textId="77777777" w:rsidR="00807E4E" w:rsidRPr="00C2234B" w:rsidRDefault="00807E4E" w:rsidP="00895AFA">
            <w:pPr>
              <w:pStyle w:val="Tablehead"/>
            </w:pPr>
            <w:r w:rsidRPr="00C2234B">
              <w:t>above the horizontal plane</w:t>
            </w:r>
          </w:p>
        </w:tc>
        <w:tc>
          <w:tcPr>
            <w:tcW w:w="1730" w:type="dxa"/>
            <w:vMerge w:val="restart"/>
            <w:noWrap/>
            <w:vAlign w:val="center"/>
            <w:hideMark/>
          </w:tcPr>
          <w:p w14:paraId="55E55988" w14:textId="77777777" w:rsidR="00807E4E" w:rsidRPr="00C2234B" w:rsidRDefault="00807E4E" w:rsidP="00895AFA">
            <w:pPr>
              <w:pStyle w:val="Tablehead"/>
            </w:pPr>
            <w:r w:rsidRPr="00C2234B">
              <w:t xml:space="preserve">Reference Bandwidth </w:t>
            </w:r>
          </w:p>
          <w:p w14:paraId="5AA898DC" w14:textId="77777777" w:rsidR="00807E4E" w:rsidRPr="00C2234B" w:rsidRDefault="00807E4E" w:rsidP="00895AFA">
            <w:pPr>
              <w:pStyle w:val="Tablehead"/>
            </w:pPr>
          </w:p>
        </w:tc>
      </w:tr>
      <w:tr w:rsidR="00807E4E" w:rsidRPr="00C2234B" w14:paraId="3CD5019A" w14:textId="77777777" w:rsidTr="00807E4E">
        <w:trPr>
          <w:trHeight w:val="300"/>
          <w:jc w:val="center"/>
        </w:trPr>
        <w:tc>
          <w:tcPr>
            <w:tcW w:w="1350" w:type="dxa"/>
            <w:vMerge/>
            <w:noWrap/>
            <w:vAlign w:val="center"/>
          </w:tcPr>
          <w:p w14:paraId="5A4EE2C3" w14:textId="77777777" w:rsidR="00807E4E" w:rsidRPr="00C2234B" w:rsidRDefault="00807E4E" w:rsidP="00807E4E">
            <w:pPr>
              <w:pStyle w:val="Tablehead"/>
            </w:pPr>
          </w:p>
        </w:tc>
        <w:tc>
          <w:tcPr>
            <w:tcW w:w="805" w:type="dxa"/>
            <w:noWrap/>
            <w:vAlign w:val="center"/>
          </w:tcPr>
          <w:p w14:paraId="1F5E4C27" w14:textId="77777777" w:rsidR="00807E4E" w:rsidRPr="00C2234B" w:rsidRDefault="00807E4E" w:rsidP="00807E4E">
            <w:pPr>
              <w:pStyle w:val="Tablehead"/>
              <w:rPr>
                <w:bCs/>
              </w:rPr>
            </w:pPr>
            <w:r w:rsidRPr="00C2234B">
              <w:rPr>
                <w:bCs/>
              </w:rPr>
              <w:t>0°-5°</w:t>
            </w:r>
          </w:p>
        </w:tc>
        <w:tc>
          <w:tcPr>
            <w:tcW w:w="1710" w:type="dxa"/>
            <w:vAlign w:val="center"/>
          </w:tcPr>
          <w:p w14:paraId="242AC245" w14:textId="43678608" w:rsidR="00807E4E" w:rsidRPr="00C2234B" w:rsidRDefault="00807E4E" w:rsidP="00807E4E">
            <w:pPr>
              <w:pStyle w:val="Tablehead"/>
              <w:rPr>
                <w:bCs/>
              </w:rPr>
            </w:pPr>
            <w:r w:rsidRPr="00C2234B">
              <w:rPr>
                <w:bCs/>
              </w:rPr>
              <w:t>5°-</w:t>
            </w:r>
            <w:r>
              <w:rPr>
                <w:bCs/>
              </w:rPr>
              <w:t>12</w:t>
            </w:r>
            <w:r w:rsidRPr="00C2234B">
              <w:rPr>
                <w:bCs/>
              </w:rPr>
              <w:t>°</w:t>
            </w:r>
          </w:p>
        </w:tc>
        <w:tc>
          <w:tcPr>
            <w:tcW w:w="1890" w:type="dxa"/>
            <w:noWrap/>
            <w:vAlign w:val="center"/>
          </w:tcPr>
          <w:p w14:paraId="7F9C2A90" w14:textId="043E72AD" w:rsidR="00807E4E" w:rsidRPr="00C2234B" w:rsidRDefault="00807E4E" w:rsidP="00807E4E">
            <w:pPr>
              <w:pStyle w:val="Tablehead"/>
              <w:rPr>
                <w:bCs/>
              </w:rPr>
            </w:pPr>
            <w:r>
              <w:rPr>
                <w:bCs/>
              </w:rPr>
              <w:t>12</w:t>
            </w:r>
            <w:r w:rsidRPr="00C2234B">
              <w:rPr>
                <w:bCs/>
              </w:rPr>
              <w:t>°-</w:t>
            </w:r>
            <w:r>
              <w:rPr>
                <w:bCs/>
              </w:rPr>
              <w:t>15</w:t>
            </w:r>
            <w:r w:rsidRPr="00C2234B">
              <w:rPr>
                <w:bCs/>
              </w:rPr>
              <w:t>°</w:t>
            </w:r>
          </w:p>
        </w:tc>
        <w:tc>
          <w:tcPr>
            <w:tcW w:w="900" w:type="dxa"/>
            <w:noWrap/>
            <w:vAlign w:val="center"/>
          </w:tcPr>
          <w:p w14:paraId="2519D192" w14:textId="69EEC9CB" w:rsidR="00807E4E" w:rsidRPr="00C2234B" w:rsidRDefault="00807E4E" w:rsidP="00807E4E">
            <w:pPr>
              <w:pStyle w:val="Tablehead"/>
              <w:rPr>
                <w:bCs/>
              </w:rPr>
            </w:pPr>
            <w:r>
              <w:rPr>
                <w:bCs/>
              </w:rPr>
              <w:t>15</w:t>
            </w:r>
            <w:r w:rsidRPr="00C2234B">
              <w:rPr>
                <w:bCs/>
              </w:rPr>
              <w:t>°-90°</w:t>
            </w:r>
          </w:p>
        </w:tc>
        <w:tc>
          <w:tcPr>
            <w:tcW w:w="1730" w:type="dxa"/>
            <w:vMerge/>
            <w:noWrap/>
            <w:vAlign w:val="center"/>
          </w:tcPr>
          <w:p w14:paraId="6A89A03C" w14:textId="77777777" w:rsidR="00807E4E" w:rsidRPr="00C2234B" w:rsidRDefault="00807E4E" w:rsidP="00807E4E">
            <w:pPr>
              <w:pStyle w:val="Tablehead"/>
            </w:pPr>
          </w:p>
        </w:tc>
      </w:tr>
      <w:tr w:rsidR="00807E4E" w:rsidRPr="00C2234B" w14:paraId="7B7B816B" w14:textId="77777777" w:rsidTr="00807E4E">
        <w:trPr>
          <w:trHeight w:val="300"/>
          <w:jc w:val="center"/>
        </w:trPr>
        <w:tc>
          <w:tcPr>
            <w:tcW w:w="1350" w:type="dxa"/>
            <w:noWrap/>
          </w:tcPr>
          <w:p w14:paraId="10105651" w14:textId="34A552D3" w:rsidR="00807E4E" w:rsidRPr="00C2234B" w:rsidRDefault="00807E4E" w:rsidP="00807E4E">
            <w:pPr>
              <w:pStyle w:val="Tabletext"/>
              <w:jc w:val="center"/>
              <w:rPr>
                <w:b/>
                <w:bCs/>
                <w:color w:val="000000"/>
              </w:rPr>
            </w:pPr>
            <w:r w:rsidRPr="003E4E5D">
              <w:rPr>
                <w:bCs/>
              </w:rPr>
              <w:t>5°</w:t>
            </w:r>
          </w:p>
        </w:tc>
        <w:tc>
          <w:tcPr>
            <w:tcW w:w="805" w:type="dxa"/>
            <w:noWrap/>
            <w:vAlign w:val="center"/>
          </w:tcPr>
          <w:p w14:paraId="5DCC14C0" w14:textId="1AB42764" w:rsidR="00807E4E" w:rsidRPr="00C2234B" w:rsidRDefault="00807E4E" w:rsidP="00807E4E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-12</w:t>
            </w:r>
            <w:r>
              <w:rPr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14:paraId="14F36136" w14:textId="39B489ED" w:rsidR="00807E4E" w:rsidRPr="00C2234B" w:rsidRDefault="00807E4E" w:rsidP="00807E4E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-12</w:t>
            </w:r>
            <w:r>
              <w:rPr>
                <w:color w:val="000000"/>
              </w:rPr>
              <w:t>5</w:t>
            </w:r>
            <w:r w:rsidRPr="00C2234B">
              <w:rPr>
                <w:color w:val="000000"/>
              </w:rPr>
              <w:t>+</w:t>
            </w:r>
            <w:r>
              <w:rPr>
                <w:color w:val="000000"/>
              </w:rPr>
              <w:t>1.43</w:t>
            </w:r>
            <w:r w:rsidRPr="00C2234B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δ-5</m:t>
              </m:r>
            </m:oMath>
            <w:r w:rsidRPr="00C2234B">
              <w:rPr>
                <w:color w:val="000000"/>
              </w:rPr>
              <w:t>)</w:t>
            </w:r>
          </w:p>
        </w:tc>
        <w:tc>
          <w:tcPr>
            <w:tcW w:w="1890" w:type="dxa"/>
            <w:noWrap/>
            <w:vAlign w:val="center"/>
          </w:tcPr>
          <w:p w14:paraId="7944F3D8" w14:textId="67714F3D" w:rsidR="00807E4E" w:rsidRPr="00C2234B" w:rsidRDefault="00807E4E" w:rsidP="00807E4E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</w:t>
            </w:r>
            <w:r>
              <w:rPr>
                <w:color w:val="000000"/>
              </w:rPr>
              <w:t>115</w:t>
            </w:r>
            <w:r w:rsidRPr="00C2234B">
              <w:rPr>
                <w:color w:val="000000"/>
              </w:rPr>
              <w:t>+</w:t>
            </w:r>
            <w:r>
              <w:rPr>
                <w:color w:val="000000"/>
              </w:rPr>
              <w:t>3.33</w:t>
            </w:r>
            <w:r w:rsidRPr="00C2234B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δ-12</m:t>
              </m:r>
            </m:oMath>
            <w:r w:rsidRPr="00C2234B">
              <w:rPr>
                <w:color w:val="000000"/>
              </w:rPr>
              <w:t>)</w:t>
            </w:r>
          </w:p>
        </w:tc>
        <w:tc>
          <w:tcPr>
            <w:tcW w:w="900" w:type="dxa"/>
            <w:noWrap/>
            <w:vAlign w:val="center"/>
          </w:tcPr>
          <w:p w14:paraId="654BAD76" w14:textId="77777777" w:rsidR="00807E4E" w:rsidRPr="00C2234B" w:rsidRDefault="00807E4E" w:rsidP="00807E4E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-105</w:t>
            </w:r>
          </w:p>
        </w:tc>
        <w:tc>
          <w:tcPr>
            <w:tcW w:w="1730" w:type="dxa"/>
            <w:noWrap/>
            <w:vAlign w:val="center"/>
          </w:tcPr>
          <w:p w14:paraId="234A7BC9" w14:textId="77777777" w:rsidR="00807E4E" w:rsidRPr="00C2234B" w:rsidRDefault="00807E4E" w:rsidP="00807E4E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1 MHz</w:t>
            </w:r>
          </w:p>
        </w:tc>
      </w:tr>
    </w:tbl>
    <w:p w14:paraId="782A17ED" w14:textId="77777777" w:rsidR="00220983" w:rsidRDefault="00220983" w:rsidP="00F25F6E">
      <w:pPr>
        <w:autoSpaceDE/>
        <w:adjustRightInd/>
        <w:spacing w:line="254" w:lineRule="auto"/>
      </w:pPr>
    </w:p>
    <w:p w14:paraId="27694A76" w14:textId="49F7FB88" w:rsidR="00982DA1" w:rsidRDefault="00982DA1" w:rsidP="00982DA1">
      <w:pPr>
        <w:autoSpaceDE/>
        <w:adjustRightInd/>
        <w:spacing w:line="254" w:lineRule="auto"/>
        <w:ind w:left="4320"/>
      </w:pPr>
      <w:r w:rsidRPr="00C2234B">
        <w:t xml:space="preserve">Table </w:t>
      </w:r>
      <w:r>
        <w:t>4</w:t>
      </w:r>
    </w:p>
    <w:p w14:paraId="09779A6F" w14:textId="5F18C64E" w:rsidR="00982DA1" w:rsidRDefault="00982DA1" w:rsidP="00982DA1">
      <w:pPr>
        <w:pStyle w:val="Tabletitle"/>
      </w:pPr>
      <w:r w:rsidRPr="00C2234B">
        <w:t>P</w:t>
      </w:r>
      <w:r>
        <w:t>FD</w:t>
      </w:r>
      <w:r w:rsidRPr="00C2234B">
        <w:t xml:space="preserve"> masks for the Selected non-GSO systems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784"/>
        <w:gridCol w:w="1906"/>
        <w:gridCol w:w="1663"/>
        <w:gridCol w:w="1672"/>
      </w:tblGrid>
      <w:tr w:rsidR="00982DA1" w:rsidRPr="00C2234B" w14:paraId="6E120FD3" w14:textId="77777777" w:rsidTr="00895AFA">
        <w:trPr>
          <w:trHeight w:val="300"/>
          <w:jc w:val="center"/>
        </w:trPr>
        <w:tc>
          <w:tcPr>
            <w:tcW w:w="1345" w:type="dxa"/>
            <w:vMerge w:val="restart"/>
            <w:noWrap/>
            <w:vAlign w:val="center"/>
            <w:hideMark/>
          </w:tcPr>
          <w:p w14:paraId="2E2F3C19" w14:textId="77777777" w:rsidR="00982DA1" w:rsidRPr="00C2234B" w:rsidRDefault="00982DA1" w:rsidP="00895AFA">
            <w:pPr>
              <w:pStyle w:val="Tablehead"/>
            </w:pPr>
            <w:r>
              <w:t xml:space="preserve">FS maximum elevation angle </w:t>
            </w:r>
          </w:p>
        </w:tc>
        <w:tc>
          <w:tcPr>
            <w:tcW w:w="5353" w:type="dxa"/>
            <w:gridSpan w:val="3"/>
            <w:noWrap/>
            <w:vAlign w:val="center"/>
          </w:tcPr>
          <w:p w14:paraId="65214E11" w14:textId="77777777" w:rsidR="00982DA1" w:rsidRPr="00C2234B" w:rsidRDefault="00982DA1" w:rsidP="00895AFA">
            <w:pPr>
              <w:pStyle w:val="Tablehead"/>
            </w:pPr>
            <w:r w:rsidRPr="00C2234B">
              <w:t>PFD in dB(W/m</w:t>
            </w:r>
            <w:r w:rsidRPr="00C2234B">
              <w:rPr>
                <w:vertAlign w:val="superscript"/>
              </w:rPr>
              <w:t>2</w:t>
            </w:r>
            <w:r w:rsidRPr="00C2234B">
              <w:t>) for angles of arrival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δ</m:t>
              </m:r>
            </m:oMath>
            <w:r w:rsidRPr="00C2234B">
              <w:t xml:space="preserve">) </w:t>
            </w:r>
          </w:p>
          <w:p w14:paraId="49BCCADA" w14:textId="77777777" w:rsidR="00982DA1" w:rsidRPr="00C2234B" w:rsidRDefault="00982DA1" w:rsidP="00895AFA">
            <w:pPr>
              <w:pStyle w:val="Tablehead"/>
            </w:pPr>
            <w:r w:rsidRPr="00C2234B">
              <w:t>above the horizontal plane</w:t>
            </w:r>
          </w:p>
        </w:tc>
        <w:tc>
          <w:tcPr>
            <w:tcW w:w="1672" w:type="dxa"/>
            <w:vMerge w:val="restart"/>
            <w:noWrap/>
            <w:vAlign w:val="center"/>
            <w:hideMark/>
          </w:tcPr>
          <w:p w14:paraId="6ABEDD84" w14:textId="77777777" w:rsidR="00982DA1" w:rsidRPr="00C2234B" w:rsidRDefault="00982DA1" w:rsidP="00895AFA">
            <w:pPr>
              <w:pStyle w:val="Tablehead"/>
            </w:pPr>
            <w:r w:rsidRPr="00C2234B">
              <w:t xml:space="preserve">Reference Bandwidth </w:t>
            </w:r>
          </w:p>
          <w:p w14:paraId="3745065E" w14:textId="77777777" w:rsidR="00982DA1" w:rsidRPr="00C2234B" w:rsidRDefault="00982DA1" w:rsidP="00895AFA">
            <w:pPr>
              <w:pStyle w:val="Tablehead"/>
            </w:pPr>
          </w:p>
        </w:tc>
      </w:tr>
      <w:tr w:rsidR="00982DA1" w:rsidRPr="00C2234B" w14:paraId="7CB58020" w14:textId="77777777" w:rsidTr="00546827">
        <w:trPr>
          <w:trHeight w:val="300"/>
          <w:jc w:val="center"/>
        </w:trPr>
        <w:tc>
          <w:tcPr>
            <w:tcW w:w="1345" w:type="dxa"/>
            <w:vMerge/>
            <w:noWrap/>
            <w:vAlign w:val="center"/>
          </w:tcPr>
          <w:p w14:paraId="45F5FD06" w14:textId="77777777" w:rsidR="00982DA1" w:rsidRPr="00C2234B" w:rsidRDefault="00982DA1" w:rsidP="00895AFA">
            <w:pPr>
              <w:pStyle w:val="Tablehead"/>
            </w:pPr>
          </w:p>
        </w:tc>
        <w:tc>
          <w:tcPr>
            <w:tcW w:w="1784" w:type="dxa"/>
            <w:noWrap/>
            <w:vAlign w:val="center"/>
          </w:tcPr>
          <w:p w14:paraId="08F8B443" w14:textId="77777777" w:rsidR="00982DA1" w:rsidRPr="00C2234B" w:rsidRDefault="00982DA1" w:rsidP="00895AFA">
            <w:pPr>
              <w:pStyle w:val="Tablehead"/>
              <w:rPr>
                <w:bCs/>
              </w:rPr>
            </w:pPr>
            <w:r w:rsidRPr="00C2234B">
              <w:rPr>
                <w:bCs/>
              </w:rPr>
              <w:t>0°-</w:t>
            </w:r>
            <w:r>
              <w:rPr>
                <w:bCs/>
              </w:rPr>
              <w:t>12</w:t>
            </w:r>
            <w:r w:rsidRPr="00C2234B">
              <w:rPr>
                <w:bCs/>
              </w:rPr>
              <w:t>°</w:t>
            </w:r>
          </w:p>
        </w:tc>
        <w:tc>
          <w:tcPr>
            <w:tcW w:w="1906" w:type="dxa"/>
            <w:noWrap/>
            <w:vAlign w:val="center"/>
          </w:tcPr>
          <w:p w14:paraId="48282317" w14:textId="4CF7C232" w:rsidR="00982DA1" w:rsidRPr="00C2234B" w:rsidRDefault="00982DA1" w:rsidP="00895AFA">
            <w:pPr>
              <w:pStyle w:val="Tablehead"/>
              <w:rPr>
                <w:bCs/>
              </w:rPr>
            </w:pPr>
            <w:r>
              <w:rPr>
                <w:bCs/>
              </w:rPr>
              <w:t>12</w:t>
            </w:r>
            <w:r w:rsidRPr="00C2234B">
              <w:rPr>
                <w:bCs/>
              </w:rPr>
              <w:t>°-</w:t>
            </w:r>
            <w:r>
              <w:rPr>
                <w:bCs/>
              </w:rPr>
              <w:t>15</w:t>
            </w:r>
            <w:r w:rsidRPr="00C2234B">
              <w:rPr>
                <w:bCs/>
              </w:rPr>
              <w:t>°</w:t>
            </w:r>
          </w:p>
        </w:tc>
        <w:tc>
          <w:tcPr>
            <w:tcW w:w="1663" w:type="dxa"/>
            <w:noWrap/>
            <w:vAlign w:val="center"/>
          </w:tcPr>
          <w:p w14:paraId="46D6FE66" w14:textId="7CAE7E11" w:rsidR="00982DA1" w:rsidRPr="00C2234B" w:rsidRDefault="00982DA1" w:rsidP="00895AFA">
            <w:pPr>
              <w:pStyle w:val="Tablehead"/>
              <w:rPr>
                <w:bCs/>
              </w:rPr>
            </w:pPr>
            <w:r>
              <w:rPr>
                <w:bCs/>
              </w:rPr>
              <w:t>15</w:t>
            </w:r>
            <w:r w:rsidRPr="00C2234B">
              <w:rPr>
                <w:bCs/>
              </w:rPr>
              <w:t>°-90°</w:t>
            </w:r>
          </w:p>
        </w:tc>
        <w:tc>
          <w:tcPr>
            <w:tcW w:w="1672" w:type="dxa"/>
            <w:vMerge/>
            <w:noWrap/>
            <w:vAlign w:val="center"/>
          </w:tcPr>
          <w:p w14:paraId="40EA6F1D" w14:textId="77777777" w:rsidR="00982DA1" w:rsidRPr="00C2234B" w:rsidRDefault="00982DA1" w:rsidP="00895AFA">
            <w:pPr>
              <w:pStyle w:val="Tablehead"/>
            </w:pPr>
          </w:p>
        </w:tc>
      </w:tr>
      <w:tr w:rsidR="00982DA1" w:rsidRPr="00C2234B" w14:paraId="55AB5797" w14:textId="77777777" w:rsidTr="00546827">
        <w:trPr>
          <w:trHeight w:val="300"/>
          <w:jc w:val="center"/>
        </w:trPr>
        <w:tc>
          <w:tcPr>
            <w:tcW w:w="1345" w:type="dxa"/>
            <w:noWrap/>
          </w:tcPr>
          <w:p w14:paraId="5A014E99" w14:textId="66F77EB0" w:rsidR="00982DA1" w:rsidRPr="00C2234B" w:rsidRDefault="00982DA1" w:rsidP="00895AFA">
            <w:pPr>
              <w:pStyle w:val="Tabletext"/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>7.</w:t>
            </w:r>
            <w:r w:rsidRPr="003E4E5D">
              <w:rPr>
                <w:bCs/>
              </w:rPr>
              <w:t>5°</w:t>
            </w:r>
          </w:p>
        </w:tc>
        <w:tc>
          <w:tcPr>
            <w:tcW w:w="1784" w:type="dxa"/>
            <w:noWrap/>
            <w:vAlign w:val="center"/>
          </w:tcPr>
          <w:p w14:paraId="7F3130E6" w14:textId="5FD04917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-12</w:t>
            </w:r>
            <w:r>
              <w:rPr>
                <w:color w:val="000000"/>
              </w:rPr>
              <w:t>5</w:t>
            </w:r>
          </w:p>
        </w:tc>
        <w:tc>
          <w:tcPr>
            <w:tcW w:w="1906" w:type="dxa"/>
            <w:noWrap/>
            <w:vAlign w:val="center"/>
          </w:tcPr>
          <w:p w14:paraId="1D2DE849" w14:textId="1A05B158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-12</w:t>
            </w:r>
            <w:r>
              <w:rPr>
                <w:color w:val="000000"/>
              </w:rPr>
              <w:t>5</w:t>
            </w:r>
            <w:r w:rsidRPr="00C2234B">
              <w:rPr>
                <w:color w:val="000000"/>
              </w:rPr>
              <w:t>+</w:t>
            </w:r>
            <w:r>
              <w:rPr>
                <w:color w:val="000000"/>
              </w:rPr>
              <w:t>6.67</w:t>
            </w:r>
            <w:r w:rsidRPr="00C2234B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δ-12</m:t>
              </m:r>
            </m:oMath>
            <w:r w:rsidRPr="00C2234B">
              <w:rPr>
                <w:color w:val="000000"/>
              </w:rPr>
              <w:t>)</w:t>
            </w:r>
          </w:p>
        </w:tc>
        <w:tc>
          <w:tcPr>
            <w:tcW w:w="1663" w:type="dxa"/>
            <w:noWrap/>
            <w:vAlign w:val="center"/>
          </w:tcPr>
          <w:p w14:paraId="0534EE66" w14:textId="77777777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-105</w:t>
            </w:r>
          </w:p>
        </w:tc>
        <w:tc>
          <w:tcPr>
            <w:tcW w:w="1672" w:type="dxa"/>
            <w:noWrap/>
            <w:vAlign w:val="center"/>
          </w:tcPr>
          <w:p w14:paraId="5AAA632B" w14:textId="77777777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1 MHz</w:t>
            </w:r>
          </w:p>
        </w:tc>
      </w:tr>
    </w:tbl>
    <w:p w14:paraId="56497E30" w14:textId="77777777" w:rsidR="00982DA1" w:rsidRDefault="00982DA1" w:rsidP="00982DA1">
      <w:pPr>
        <w:autoSpaceDE/>
        <w:adjustRightInd/>
        <w:spacing w:line="254" w:lineRule="auto"/>
        <w:ind w:left="4320"/>
      </w:pPr>
    </w:p>
    <w:p w14:paraId="3CE289C6" w14:textId="71E5FDFE" w:rsidR="00982DA1" w:rsidRDefault="00982DA1" w:rsidP="00982DA1">
      <w:pPr>
        <w:autoSpaceDE/>
        <w:adjustRightInd/>
        <w:spacing w:line="254" w:lineRule="auto"/>
        <w:ind w:left="4320"/>
      </w:pPr>
      <w:r w:rsidRPr="00C2234B">
        <w:t xml:space="preserve">Table </w:t>
      </w:r>
      <w:r>
        <w:t>5</w:t>
      </w:r>
    </w:p>
    <w:p w14:paraId="59CC49A5" w14:textId="77777777" w:rsidR="00982DA1" w:rsidRDefault="00982DA1" w:rsidP="00982DA1">
      <w:pPr>
        <w:pStyle w:val="Tabletitle"/>
      </w:pPr>
      <w:r w:rsidRPr="00C2234B">
        <w:t>P</w:t>
      </w:r>
      <w:r>
        <w:t>FD</w:t>
      </w:r>
      <w:r w:rsidRPr="00C2234B">
        <w:t xml:space="preserve"> masks for the Selected non-GSO systems</w:t>
      </w:r>
    </w:p>
    <w:tbl>
      <w:tblPr>
        <w:tblW w:w="8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784"/>
        <w:gridCol w:w="1906"/>
        <w:gridCol w:w="1663"/>
        <w:gridCol w:w="1672"/>
      </w:tblGrid>
      <w:tr w:rsidR="00982DA1" w:rsidRPr="00C2234B" w14:paraId="5A0F0216" w14:textId="77777777" w:rsidTr="00895AFA">
        <w:trPr>
          <w:trHeight w:val="300"/>
          <w:jc w:val="center"/>
        </w:trPr>
        <w:tc>
          <w:tcPr>
            <w:tcW w:w="1345" w:type="dxa"/>
            <w:vMerge w:val="restart"/>
            <w:noWrap/>
            <w:vAlign w:val="center"/>
            <w:hideMark/>
          </w:tcPr>
          <w:p w14:paraId="2A844910" w14:textId="77777777" w:rsidR="00982DA1" w:rsidRPr="00C2234B" w:rsidRDefault="00982DA1" w:rsidP="00895AFA">
            <w:pPr>
              <w:pStyle w:val="Tablehead"/>
            </w:pPr>
            <w:r>
              <w:t xml:space="preserve">FS maximum elevation angle </w:t>
            </w:r>
          </w:p>
        </w:tc>
        <w:tc>
          <w:tcPr>
            <w:tcW w:w="5353" w:type="dxa"/>
            <w:gridSpan w:val="3"/>
            <w:noWrap/>
            <w:vAlign w:val="center"/>
          </w:tcPr>
          <w:p w14:paraId="2FF3A1BC" w14:textId="77777777" w:rsidR="00982DA1" w:rsidRPr="00C2234B" w:rsidRDefault="00982DA1" w:rsidP="00895AFA">
            <w:pPr>
              <w:pStyle w:val="Tablehead"/>
            </w:pPr>
            <w:r w:rsidRPr="00C2234B">
              <w:t>PFD in dB(W/m</w:t>
            </w:r>
            <w:r w:rsidRPr="00C2234B">
              <w:rPr>
                <w:vertAlign w:val="superscript"/>
              </w:rPr>
              <w:t>2</w:t>
            </w:r>
            <w:r w:rsidRPr="00C2234B">
              <w:t>) for angles of arrival (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δ</m:t>
              </m:r>
            </m:oMath>
            <w:r w:rsidRPr="00C2234B">
              <w:t xml:space="preserve">) </w:t>
            </w:r>
          </w:p>
          <w:p w14:paraId="3090889B" w14:textId="77777777" w:rsidR="00982DA1" w:rsidRPr="00C2234B" w:rsidRDefault="00982DA1" w:rsidP="00895AFA">
            <w:pPr>
              <w:pStyle w:val="Tablehead"/>
            </w:pPr>
            <w:r w:rsidRPr="00C2234B">
              <w:t>above the horizontal plane</w:t>
            </w:r>
          </w:p>
        </w:tc>
        <w:tc>
          <w:tcPr>
            <w:tcW w:w="1672" w:type="dxa"/>
            <w:vMerge w:val="restart"/>
            <w:noWrap/>
            <w:vAlign w:val="center"/>
            <w:hideMark/>
          </w:tcPr>
          <w:p w14:paraId="33D57DF2" w14:textId="77777777" w:rsidR="00982DA1" w:rsidRPr="00C2234B" w:rsidRDefault="00982DA1" w:rsidP="00895AFA">
            <w:pPr>
              <w:pStyle w:val="Tablehead"/>
            </w:pPr>
            <w:r w:rsidRPr="00C2234B">
              <w:t xml:space="preserve">Reference Bandwidth </w:t>
            </w:r>
          </w:p>
          <w:p w14:paraId="204D8C60" w14:textId="77777777" w:rsidR="00982DA1" w:rsidRPr="00C2234B" w:rsidRDefault="00982DA1" w:rsidP="00895AFA">
            <w:pPr>
              <w:pStyle w:val="Tablehead"/>
            </w:pPr>
          </w:p>
        </w:tc>
      </w:tr>
      <w:tr w:rsidR="00982DA1" w:rsidRPr="00C2234B" w14:paraId="33FC5358" w14:textId="77777777" w:rsidTr="00546827">
        <w:trPr>
          <w:trHeight w:val="300"/>
          <w:jc w:val="center"/>
        </w:trPr>
        <w:tc>
          <w:tcPr>
            <w:tcW w:w="1345" w:type="dxa"/>
            <w:vMerge/>
            <w:noWrap/>
            <w:vAlign w:val="center"/>
          </w:tcPr>
          <w:p w14:paraId="0CCFDD36" w14:textId="77777777" w:rsidR="00982DA1" w:rsidRPr="00C2234B" w:rsidRDefault="00982DA1" w:rsidP="00895AFA">
            <w:pPr>
              <w:pStyle w:val="Tablehead"/>
            </w:pPr>
          </w:p>
        </w:tc>
        <w:tc>
          <w:tcPr>
            <w:tcW w:w="1784" w:type="dxa"/>
            <w:noWrap/>
            <w:vAlign w:val="center"/>
          </w:tcPr>
          <w:p w14:paraId="1D662494" w14:textId="0A7B0D34" w:rsidR="00982DA1" w:rsidRPr="00C2234B" w:rsidRDefault="00982DA1" w:rsidP="00895AFA">
            <w:pPr>
              <w:pStyle w:val="Tablehead"/>
              <w:rPr>
                <w:bCs/>
              </w:rPr>
            </w:pPr>
            <w:r w:rsidRPr="00C2234B">
              <w:rPr>
                <w:bCs/>
              </w:rPr>
              <w:t>0°-</w:t>
            </w:r>
            <w:r w:rsidR="00546827">
              <w:rPr>
                <w:bCs/>
              </w:rPr>
              <w:t>5</w:t>
            </w:r>
            <w:r w:rsidRPr="00C2234B">
              <w:rPr>
                <w:bCs/>
              </w:rPr>
              <w:t>°</w:t>
            </w:r>
          </w:p>
        </w:tc>
        <w:tc>
          <w:tcPr>
            <w:tcW w:w="1906" w:type="dxa"/>
            <w:noWrap/>
            <w:vAlign w:val="center"/>
          </w:tcPr>
          <w:p w14:paraId="729611F0" w14:textId="41714E97" w:rsidR="00982DA1" w:rsidRPr="00C2234B" w:rsidRDefault="00546827" w:rsidP="00895AFA">
            <w:pPr>
              <w:pStyle w:val="Tablehead"/>
              <w:rPr>
                <w:bCs/>
              </w:rPr>
            </w:pPr>
            <w:r>
              <w:rPr>
                <w:bCs/>
              </w:rPr>
              <w:t>5</w:t>
            </w:r>
            <w:r w:rsidR="00982DA1" w:rsidRPr="00C2234B">
              <w:rPr>
                <w:bCs/>
              </w:rPr>
              <w:t>°-</w:t>
            </w:r>
            <w:r>
              <w:rPr>
                <w:bCs/>
              </w:rPr>
              <w:t>25</w:t>
            </w:r>
            <w:r w:rsidR="00982DA1" w:rsidRPr="00C2234B">
              <w:rPr>
                <w:bCs/>
              </w:rPr>
              <w:t>°</w:t>
            </w:r>
          </w:p>
        </w:tc>
        <w:tc>
          <w:tcPr>
            <w:tcW w:w="1663" w:type="dxa"/>
            <w:noWrap/>
            <w:vAlign w:val="center"/>
          </w:tcPr>
          <w:p w14:paraId="023B0BAB" w14:textId="42BE8B32" w:rsidR="00982DA1" w:rsidRPr="00C2234B" w:rsidRDefault="00546827" w:rsidP="00895AFA">
            <w:pPr>
              <w:pStyle w:val="Tablehead"/>
              <w:rPr>
                <w:bCs/>
              </w:rPr>
            </w:pPr>
            <w:r>
              <w:rPr>
                <w:bCs/>
              </w:rPr>
              <w:t>25</w:t>
            </w:r>
            <w:r w:rsidR="00982DA1" w:rsidRPr="00C2234B">
              <w:rPr>
                <w:bCs/>
              </w:rPr>
              <w:t>°-90°</w:t>
            </w:r>
          </w:p>
        </w:tc>
        <w:tc>
          <w:tcPr>
            <w:tcW w:w="1672" w:type="dxa"/>
            <w:vMerge/>
            <w:noWrap/>
            <w:vAlign w:val="center"/>
          </w:tcPr>
          <w:p w14:paraId="2E3B4CC1" w14:textId="77777777" w:rsidR="00982DA1" w:rsidRPr="00C2234B" w:rsidRDefault="00982DA1" w:rsidP="00895AFA">
            <w:pPr>
              <w:pStyle w:val="Tablehead"/>
            </w:pPr>
          </w:p>
        </w:tc>
      </w:tr>
      <w:tr w:rsidR="00982DA1" w:rsidRPr="00C2234B" w14:paraId="37F3076F" w14:textId="77777777" w:rsidTr="00546827">
        <w:trPr>
          <w:trHeight w:val="300"/>
          <w:jc w:val="center"/>
        </w:trPr>
        <w:tc>
          <w:tcPr>
            <w:tcW w:w="1345" w:type="dxa"/>
            <w:noWrap/>
          </w:tcPr>
          <w:p w14:paraId="72162F88" w14:textId="4F307AAE" w:rsidR="00982DA1" w:rsidRPr="00C2234B" w:rsidRDefault="00546827" w:rsidP="00895AFA">
            <w:pPr>
              <w:pStyle w:val="Tabletext"/>
              <w:jc w:val="center"/>
              <w:rPr>
                <w:b/>
                <w:bCs/>
                <w:color w:val="000000"/>
              </w:rPr>
            </w:pPr>
            <w:r>
              <w:rPr>
                <w:bCs/>
              </w:rPr>
              <w:t>10</w:t>
            </w:r>
            <w:r w:rsidR="00982DA1" w:rsidRPr="003E4E5D">
              <w:rPr>
                <w:bCs/>
              </w:rPr>
              <w:t>°</w:t>
            </w:r>
          </w:p>
        </w:tc>
        <w:tc>
          <w:tcPr>
            <w:tcW w:w="1784" w:type="dxa"/>
            <w:noWrap/>
            <w:vAlign w:val="center"/>
          </w:tcPr>
          <w:p w14:paraId="582A6912" w14:textId="4105A42A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-12</w:t>
            </w:r>
            <w:r w:rsidR="00546827">
              <w:rPr>
                <w:color w:val="000000"/>
              </w:rPr>
              <w:t>5</w:t>
            </w:r>
          </w:p>
        </w:tc>
        <w:tc>
          <w:tcPr>
            <w:tcW w:w="1906" w:type="dxa"/>
            <w:noWrap/>
            <w:vAlign w:val="center"/>
          </w:tcPr>
          <w:p w14:paraId="6E0DAA55" w14:textId="4340768B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-12</w:t>
            </w:r>
            <w:r w:rsidR="00546827">
              <w:rPr>
                <w:color w:val="000000"/>
              </w:rPr>
              <w:t>5</w:t>
            </w:r>
            <w:r w:rsidRPr="00C2234B">
              <w:rPr>
                <w:color w:val="000000"/>
              </w:rPr>
              <w:t>+</w:t>
            </w:r>
            <w:r w:rsidR="00546827">
              <w:rPr>
                <w:color w:val="000000"/>
              </w:rPr>
              <w:t xml:space="preserve"> </w:t>
            </w:r>
            <w:r w:rsidRPr="00C2234B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</w:rPr>
                <m:t>δ-5</m:t>
              </m:r>
            </m:oMath>
            <w:r w:rsidRPr="00C2234B">
              <w:rPr>
                <w:color w:val="000000"/>
              </w:rPr>
              <w:t>)</w:t>
            </w:r>
          </w:p>
        </w:tc>
        <w:tc>
          <w:tcPr>
            <w:tcW w:w="1663" w:type="dxa"/>
            <w:noWrap/>
            <w:vAlign w:val="center"/>
          </w:tcPr>
          <w:p w14:paraId="1D4C7412" w14:textId="77777777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-105</w:t>
            </w:r>
          </w:p>
        </w:tc>
        <w:tc>
          <w:tcPr>
            <w:tcW w:w="1672" w:type="dxa"/>
            <w:noWrap/>
            <w:vAlign w:val="center"/>
          </w:tcPr>
          <w:p w14:paraId="190D8D50" w14:textId="77777777" w:rsidR="00982DA1" w:rsidRPr="00C2234B" w:rsidRDefault="00982DA1" w:rsidP="00895AFA">
            <w:pPr>
              <w:pStyle w:val="Tabletext"/>
              <w:jc w:val="center"/>
              <w:rPr>
                <w:color w:val="000000"/>
              </w:rPr>
            </w:pPr>
            <w:r w:rsidRPr="00C2234B">
              <w:rPr>
                <w:color w:val="000000"/>
              </w:rPr>
              <w:t>1 MHz</w:t>
            </w:r>
          </w:p>
        </w:tc>
      </w:tr>
    </w:tbl>
    <w:p w14:paraId="77C3B85A" w14:textId="77777777" w:rsidR="00982DA1" w:rsidRPr="00C2234B" w:rsidRDefault="00982DA1" w:rsidP="00F25F6E">
      <w:pPr>
        <w:autoSpaceDE/>
        <w:adjustRightInd/>
        <w:spacing w:line="254" w:lineRule="auto"/>
      </w:pPr>
    </w:p>
    <w:p w14:paraId="647A1DDE" w14:textId="4AFC9CD9" w:rsidR="00305A90" w:rsidRPr="00305A90" w:rsidRDefault="00305A90" w:rsidP="00305A90">
      <w:pPr>
        <w:pStyle w:val="Heading2"/>
      </w:pPr>
      <w:r w:rsidRPr="00305A90">
        <w:t>FS Link Characteristics</w:t>
      </w:r>
    </w:p>
    <w:p w14:paraId="37B7274B" w14:textId="5135BC7F" w:rsidR="00F25F6E" w:rsidRPr="00C2234B" w:rsidRDefault="00F25F6E" w:rsidP="00F25F6E">
      <w:pPr>
        <w:autoSpaceDE/>
        <w:adjustRightInd/>
        <w:spacing w:line="254" w:lineRule="auto"/>
      </w:pPr>
      <w:r w:rsidRPr="00C2234B">
        <w:t xml:space="preserve">FS link characteristics has been used following WP 5C guidance as listed in </w:t>
      </w:r>
      <w:r w:rsidR="00FE229C" w:rsidRPr="00C2234B">
        <w:t xml:space="preserve">Table </w:t>
      </w:r>
      <w:r w:rsidR="007C316F">
        <w:t>6</w:t>
      </w:r>
      <w:r w:rsidRPr="00C2234B">
        <w:t xml:space="preserve">. </w:t>
      </w:r>
    </w:p>
    <w:p w14:paraId="086B2BFC" w14:textId="461B7704" w:rsidR="00F25F6E" w:rsidRPr="00C2234B" w:rsidRDefault="00F25F6E" w:rsidP="00F25F6E">
      <w:pPr>
        <w:pStyle w:val="TableNo"/>
        <w:rPr>
          <w:i/>
        </w:rPr>
      </w:pPr>
      <w:bookmarkStart w:id="4" w:name="_Ref126458654"/>
      <w:r w:rsidRPr="00C2234B">
        <w:lastRenderedPageBreak/>
        <w:t>Table</w:t>
      </w:r>
      <w:bookmarkEnd w:id="4"/>
      <w:r w:rsidR="003609F0">
        <w:t xml:space="preserve"> </w:t>
      </w:r>
      <w:r w:rsidR="007C316F">
        <w:t>6</w:t>
      </w:r>
    </w:p>
    <w:p w14:paraId="12831DD1" w14:textId="77777777" w:rsidR="00F25F6E" w:rsidRPr="00C2234B" w:rsidRDefault="00F25F6E" w:rsidP="00F25F6E">
      <w:pPr>
        <w:pStyle w:val="Tabletitle"/>
        <w:rPr>
          <w:i/>
        </w:rPr>
      </w:pPr>
      <w:r w:rsidRPr="00C2234B">
        <w:t>FS Link Characteristics</w:t>
      </w:r>
    </w:p>
    <w:tbl>
      <w:tblPr>
        <w:tblStyle w:val="TableGrid"/>
        <w:tblW w:w="8275" w:type="dxa"/>
        <w:jc w:val="center"/>
        <w:tblLook w:val="0420" w:firstRow="1" w:lastRow="0" w:firstColumn="0" w:lastColumn="0" w:noHBand="0" w:noVBand="1"/>
      </w:tblPr>
      <w:tblGrid>
        <w:gridCol w:w="4495"/>
        <w:gridCol w:w="3780"/>
      </w:tblGrid>
      <w:tr w:rsidR="00F25F6E" w:rsidRPr="00C2234B" w14:paraId="61E3EECE" w14:textId="77777777" w:rsidTr="00282BF6">
        <w:trPr>
          <w:trHeight w:val="394"/>
          <w:jc w:val="center"/>
        </w:trPr>
        <w:tc>
          <w:tcPr>
            <w:tcW w:w="4495" w:type="dxa"/>
            <w:hideMark/>
          </w:tcPr>
          <w:p w14:paraId="4B1BA867" w14:textId="77777777" w:rsidR="00F25F6E" w:rsidRPr="00C2234B" w:rsidRDefault="00F25F6E" w:rsidP="00282BF6">
            <w:pPr>
              <w:pStyle w:val="Tablehead"/>
            </w:pPr>
            <w:r w:rsidRPr="00C2234B">
              <w:t>Parameters</w:t>
            </w:r>
          </w:p>
        </w:tc>
        <w:tc>
          <w:tcPr>
            <w:tcW w:w="3780" w:type="dxa"/>
            <w:hideMark/>
          </w:tcPr>
          <w:p w14:paraId="7F184A36" w14:textId="77777777" w:rsidR="00F25F6E" w:rsidRPr="00C2234B" w:rsidRDefault="00F25F6E" w:rsidP="00282BF6">
            <w:pPr>
              <w:pStyle w:val="Tablehead"/>
            </w:pPr>
            <w:r w:rsidRPr="00C2234B">
              <w:t>Specifications</w:t>
            </w:r>
          </w:p>
        </w:tc>
      </w:tr>
      <w:tr w:rsidR="00F25F6E" w:rsidRPr="00C2234B" w14:paraId="36111EE6" w14:textId="77777777" w:rsidTr="00282BF6">
        <w:trPr>
          <w:trHeight w:val="406"/>
          <w:jc w:val="center"/>
        </w:trPr>
        <w:tc>
          <w:tcPr>
            <w:tcW w:w="4495" w:type="dxa"/>
          </w:tcPr>
          <w:p w14:paraId="004D31FA" w14:textId="77777777" w:rsidR="00F25F6E" w:rsidRPr="00C2234B" w:rsidRDefault="00F25F6E" w:rsidP="00282BF6">
            <w:pPr>
              <w:pStyle w:val="Tabletext"/>
            </w:pPr>
            <w:r w:rsidRPr="00C2234B">
              <w:t>Frequency (GHz)</w:t>
            </w:r>
          </w:p>
        </w:tc>
        <w:tc>
          <w:tcPr>
            <w:tcW w:w="3780" w:type="dxa"/>
          </w:tcPr>
          <w:p w14:paraId="2C82EED5" w14:textId="77777777" w:rsidR="00F25F6E" w:rsidRPr="00C2234B" w:rsidDel="00DA74CF" w:rsidRDefault="00F25F6E" w:rsidP="00282BF6">
            <w:pPr>
              <w:pStyle w:val="Tabletext"/>
            </w:pPr>
            <w:r w:rsidRPr="00C2234B">
              <w:t>73.5</w:t>
            </w:r>
          </w:p>
        </w:tc>
      </w:tr>
      <w:tr w:rsidR="00F25F6E" w:rsidRPr="00C2234B" w14:paraId="2010220F" w14:textId="77777777" w:rsidTr="00282BF6">
        <w:trPr>
          <w:trHeight w:val="406"/>
          <w:jc w:val="center"/>
        </w:trPr>
        <w:tc>
          <w:tcPr>
            <w:tcW w:w="4495" w:type="dxa"/>
            <w:hideMark/>
          </w:tcPr>
          <w:p w14:paraId="49DB2449" w14:textId="77777777" w:rsidR="00F25F6E" w:rsidRPr="00C2234B" w:rsidRDefault="00F25F6E" w:rsidP="00282BF6">
            <w:pPr>
              <w:pStyle w:val="Tabletext"/>
            </w:pPr>
            <w:r w:rsidRPr="00C2234B">
              <w:t>FS Antenna maximum Receive Gain (</w:t>
            </w:r>
            <w:proofErr w:type="spellStart"/>
            <w:r w:rsidRPr="00C2234B">
              <w:t>dBi</w:t>
            </w:r>
            <w:proofErr w:type="spellEnd"/>
            <w:r w:rsidRPr="00C2234B">
              <w:t>)</w:t>
            </w:r>
          </w:p>
        </w:tc>
        <w:tc>
          <w:tcPr>
            <w:tcW w:w="3780" w:type="dxa"/>
            <w:hideMark/>
          </w:tcPr>
          <w:p w14:paraId="770BF057" w14:textId="77777777" w:rsidR="00F25F6E" w:rsidRPr="00C2234B" w:rsidRDefault="00F25F6E" w:rsidP="00282BF6">
            <w:pPr>
              <w:pStyle w:val="Tabletext"/>
            </w:pPr>
            <w:r w:rsidRPr="00C2234B">
              <w:t>41.5 (0.2 m), 51(0.6 m)</w:t>
            </w:r>
          </w:p>
        </w:tc>
      </w:tr>
      <w:tr w:rsidR="00F25F6E" w:rsidRPr="00C2234B" w14:paraId="44529826" w14:textId="77777777" w:rsidTr="00282BF6">
        <w:trPr>
          <w:trHeight w:val="406"/>
          <w:jc w:val="center"/>
        </w:trPr>
        <w:tc>
          <w:tcPr>
            <w:tcW w:w="4495" w:type="dxa"/>
            <w:hideMark/>
          </w:tcPr>
          <w:p w14:paraId="25F75505" w14:textId="77777777" w:rsidR="00F25F6E" w:rsidRPr="00C2234B" w:rsidRDefault="00F25F6E" w:rsidP="00282BF6">
            <w:pPr>
              <w:pStyle w:val="Tabletext"/>
            </w:pPr>
            <w:r w:rsidRPr="00C2234B">
              <w:t>FS Antenna Pattern</w:t>
            </w:r>
          </w:p>
        </w:tc>
        <w:tc>
          <w:tcPr>
            <w:tcW w:w="3780" w:type="dxa"/>
            <w:hideMark/>
          </w:tcPr>
          <w:p w14:paraId="7B3F532B" w14:textId="77777777" w:rsidR="003A46BE" w:rsidRPr="00335D9F" w:rsidRDefault="00F25F6E" w:rsidP="003A46BE">
            <w:pPr>
              <w:pStyle w:val="Tabletext"/>
              <w:rPr>
                <w:lang w:val="en-US"/>
              </w:rPr>
            </w:pPr>
            <w:r w:rsidRPr="00335D9F">
              <w:rPr>
                <w:lang w:val="en-US"/>
              </w:rPr>
              <w:t>Rec. ITU-R F.1245-3</w:t>
            </w:r>
            <w:r w:rsidR="00220983" w:rsidRPr="00335D9F">
              <w:rPr>
                <w:lang w:val="en-US"/>
              </w:rPr>
              <w:t>,</w:t>
            </w:r>
          </w:p>
          <w:p w14:paraId="1C8563CE" w14:textId="2A0E19EC" w:rsidR="00220983" w:rsidRPr="00335D9F" w:rsidRDefault="00220983" w:rsidP="00220983">
            <w:pPr>
              <w:pStyle w:val="Tabletext"/>
              <w:rPr>
                <w:lang w:val="en-US"/>
              </w:rPr>
            </w:pPr>
            <w:r w:rsidRPr="00220983">
              <w:rPr>
                <w:lang w:val="en-US"/>
              </w:rPr>
              <w:t>EN</w:t>
            </w:r>
            <w:r>
              <w:rPr>
                <w:lang w:val="en-US"/>
              </w:rPr>
              <w:t xml:space="preserve"> </w:t>
            </w:r>
            <w:r w:rsidRPr="00220983">
              <w:rPr>
                <w:lang w:val="en-US"/>
              </w:rPr>
              <w:t>302</w:t>
            </w:r>
            <w:r>
              <w:rPr>
                <w:lang w:val="en-US"/>
              </w:rPr>
              <w:t xml:space="preserve"> </w:t>
            </w:r>
            <w:r w:rsidRPr="00220983">
              <w:rPr>
                <w:lang w:val="en-US"/>
              </w:rPr>
              <w:t>217-4</w:t>
            </w:r>
            <w:r>
              <w:rPr>
                <w:lang w:val="en-US"/>
              </w:rPr>
              <w:t xml:space="preserve"> </w:t>
            </w:r>
            <w:r w:rsidRPr="00220983">
              <w:rPr>
                <w:lang w:val="en-US"/>
              </w:rPr>
              <w:t>Class-3</w:t>
            </w:r>
          </w:p>
        </w:tc>
      </w:tr>
      <w:tr w:rsidR="00F25F6E" w:rsidRPr="00C2234B" w14:paraId="21067250" w14:textId="77777777" w:rsidTr="00282BF6">
        <w:trPr>
          <w:trHeight w:val="406"/>
          <w:jc w:val="center"/>
        </w:trPr>
        <w:tc>
          <w:tcPr>
            <w:tcW w:w="4495" w:type="dxa"/>
            <w:hideMark/>
          </w:tcPr>
          <w:p w14:paraId="2FA3BA21" w14:textId="77777777" w:rsidR="00F25F6E" w:rsidRPr="00C2234B" w:rsidRDefault="00F25F6E" w:rsidP="00282BF6">
            <w:pPr>
              <w:pStyle w:val="Tabletext"/>
            </w:pPr>
            <w:r w:rsidRPr="00C2234B">
              <w:t>Latitude (degrees)</w:t>
            </w:r>
          </w:p>
        </w:tc>
        <w:tc>
          <w:tcPr>
            <w:tcW w:w="3780" w:type="dxa"/>
            <w:hideMark/>
          </w:tcPr>
          <w:p w14:paraId="3728530A" w14:textId="694ACF7B" w:rsidR="00F25F6E" w:rsidRPr="00C2234B" w:rsidRDefault="00F25F6E" w:rsidP="00282BF6">
            <w:pPr>
              <w:pStyle w:val="Tabletext"/>
            </w:pPr>
            <w:r w:rsidRPr="00C2234B">
              <w:t>45° N</w:t>
            </w:r>
          </w:p>
        </w:tc>
      </w:tr>
      <w:tr w:rsidR="00F25F6E" w:rsidRPr="00C2234B" w14:paraId="30100FA4" w14:textId="77777777" w:rsidTr="00282BF6">
        <w:trPr>
          <w:trHeight w:val="406"/>
          <w:jc w:val="center"/>
        </w:trPr>
        <w:tc>
          <w:tcPr>
            <w:tcW w:w="4495" w:type="dxa"/>
          </w:tcPr>
          <w:p w14:paraId="0F5C2C13" w14:textId="77777777" w:rsidR="00F25F6E" w:rsidRPr="00C2234B" w:rsidRDefault="00F25F6E" w:rsidP="00282BF6">
            <w:pPr>
              <w:pStyle w:val="Tabletext"/>
            </w:pPr>
            <w:r w:rsidRPr="00C2234B">
              <w:t>Longitude (degrees)</w:t>
            </w:r>
          </w:p>
        </w:tc>
        <w:tc>
          <w:tcPr>
            <w:tcW w:w="3780" w:type="dxa"/>
          </w:tcPr>
          <w:p w14:paraId="5E13938A" w14:textId="77777777" w:rsidR="00F25F6E" w:rsidRPr="00C2234B" w:rsidRDefault="00F25F6E" w:rsidP="00282BF6">
            <w:pPr>
              <w:pStyle w:val="Tabletext"/>
            </w:pPr>
            <w:r w:rsidRPr="00C2234B">
              <w:t>3° E</w:t>
            </w:r>
          </w:p>
        </w:tc>
      </w:tr>
      <w:tr w:rsidR="00F25F6E" w:rsidRPr="00C2234B" w14:paraId="7A6306F1" w14:textId="77777777" w:rsidTr="00282BF6">
        <w:trPr>
          <w:trHeight w:val="406"/>
          <w:jc w:val="center"/>
        </w:trPr>
        <w:tc>
          <w:tcPr>
            <w:tcW w:w="4495" w:type="dxa"/>
          </w:tcPr>
          <w:p w14:paraId="7334DFBD" w14:textId="77777777" w:rsidR="00F25F6E" w:rsidRPr="00C2234B" w:rsidRDefault="00F25F6E" w:rsidP="00282BF6">
            <w:pPr>
              <w:pStyle w:val="Tabletext"/>
            </w:pPr>
            <w:r w:rsidRPr="00C2234B">
              <w:t>Elevation Angles</w:t>
            </w:r>
          </w:p>
        </w:tc>
        <w:tc>
          <w:tcPr>
            <w:tcW w:w="3780" w:type="dxa"/>
          </w:tcPr>
          <w:p w14:paraId="4E785BB5" w14:textId="4849FF4E" w:rsidR="00F25F6E" w:rsidRPr="00C2234B" w:rsidRDefault="00F25F6E" w:rsidP="00282BF6">
            <w:pPr>
              <w:pStyle w:val="Tabletext"/>
            </w:pPr>
            <w:r w:rsidRPr="00C2234B">
              <w:t>5°</w:t>
            </w:r>
            <w:r w:rsidR="00220983">
              <w:t>, 7.5</w:t>
            </w:r>
            <w:r w:rsidR="00220983" w:rsidRPr="00C2234B">
              <w:t>°</w:t>
            </w:r>
            <w:r w:rsidR="00220983">
              <w:t>, 10</w:t>
            </w:r>
            <w:r w:rsidR="00220983" w:rsidRPr="00C2234B">
              <w:t>°</w:t>
            </w:r>
          </w:p>
        </w:tc>
      </w:tr>
      <w:tr w:rsidR="00F25F6E" w:rsidRPr="00C2234B" w14:paraId="058C421D" w14:textId="77777777" w:rsidTr="00282BF6">
        <w:trPr>
          <w:trHeight w:val="406"/>
          <w:jc w:val="center"/>
        </w:trPr>
        <w:tc>
          <w:tcPr>
            <w:tcW w:w="4495" w:type="dxa"/>
            <w:hideMark/>
          </w:tcPr>
          <w:p w14:paraId="440E43BC" w14:textId="77777777" w:rsidR="00F25F6E" w:rsidRPr="00C2234B" w:rsidRDefault="00F25F6E" w:rsidP="00282BF6">
            <w:pPr>
              <w:pStyle w:val="Tabletext"/>
            </w:pPr>
            <w:r w:rsidRPr="00C2234B">
              <w:t>Receiver Noise Figure (dB)</w:t>
            </w:r>
          </w:p>
        </w:tc>
        <w:tc>
          <w:tcPr>
            <w:tcW w:w="3780" w:type="dxa"/>
            <w:hideMark/>
          </w:tcPr>
          <w:p w14:paraId="72496A9F" w14:textId="77777777" w:rsidR="00F25F6E" w:rsidRPr="00C2234B" w:rsidRDefault="00F25F6E" w:rsidP="00282BF6">
            <w:pPr>
              <w:pStyle w:val="Tabletext"/>
            </w:pPr>
            <w:r w:rsidRPr="00C2234B">
              <w:t>8</w:t>
            </w:r>
          </w:p>
        </w:tc>
      </w:tr>
      <w:tr w:rsidR="00F25F6E" w:rsidRPr="00C2234B" w14:paraId="7636AF9F" w14:textId="77777777" w:rsidTr="00282BF6">
        <w:trPr>
          <w:trHeight w:val="406"/>
          <w:jc w:val="center"/>
        </w:trPr>
        <w:tc>
          <w:tcPr>
            <w:tcW w:w="4495" w:type="dxa"/>
            <w:vAlign w:val="center"/>
          </w:tcPr>
          <w:p w14:paraId="70D0F8D2" w14:textId="77777777" w:rsidR="00F25F6E" w:rsidRPr="00C2234B" w:rsidRDefault="00F25F6E" w:rsidP="00282BF6">
            <w:pPr>
              <w:pStyle w:val="Tabletext"/>
            </w:pPr>
            <w:r w:rsidRPr="00C2234B">
              <w:t>Antenna height(m) above mean sea level (AMSL)</w:t>
            </w:r>
          </w:p>
        </w:tc>
        <w:tc>
          <w:tcPr>
            <w:tcW w:w="3780" w:type="dxa"/>
            <w:vAlign w:val="center"/>
          </w:tcPr>
          <w:p w14:paraId="1BE68987" w14:textId="77777777" w:rsidR="00F25F6E" w:rsidRPr="00C2234B" w:rsidRDefault="00F25F6E" w:rsidP="00282BF6">
            <w:pPr>
              <w:pStyle w:val="Tabletext"/>
            </w:pPr>
            <w:r w:rsidRPr="00C2234B">
              <w:rPr>
                <w:color w:val="000000"/>
              </w:rPr>
              <w:t>30</w:t>
            </w:r>
          </w:p>
        </w:tc>
      </w:tr>
      <w:tr w:rsidR="00F25F6E" w:rsidRPr="00C2234B" w14:paraId="150EDC68" w14:textId="77777777" w:rsidTr="00282BF6">
        <w:trPr>
          <w:trHeight w:val="406"/>
          <w:jc w:val="center"/>
        </w:trPr>
        <w:tc>
          <w:tcPr>
            <w:tcW w:w="4495" w:type="dxa"/>
            <w:vAlign w:val="center"/>
          </w:tcPr>
          <w:p w14:paraId="2AFC4DB7" w14:textId="77777777" w:rsidR="00F25F6E" w:rsidRPr="00C2234B" w:rsidRDefault="00F25F6E" w:rsidP="00282BF6">
            <w:pPr>
              <w:pStyle w:val="Tabletext"/>
            </w:pPr>
            <w:r w:rsidRPr="00C2234B">
              <w:t>Above mean sea level (AMSL) (m)</w:t>
            </w:r>
          </w:p>
        </w:tc>
        <w:tc>
          <w:tcPr>
            <w:tcW w:w="3780" w:type="dxa"/>
            <w:vAlign w:val="center"/>
          </w:tcPr>
          <w:p w14:paraId="543875DF" w14:textId="3ED5667D" w:rsidR="00F25F6E" w:rsidRPr="00C2234B" w:rsidRDefault="00F25F6E" w:rsidP="00220983">
            <w:pPr>
              <w:pStyle w:val="Tabletext"/>
              <w:rPr>
                <w:color w:val="000000"/>
              </w:rPr>
            </w:pPr>
            <w:r w:rsidRPr="00C2234B">
              <w:t>45° N, 3° E: 1014 m</w:t>
            </w:r>
          </w:p>
        </w:tc>
      </w:tr>
    </w:tbl>
    <w:p w14:paraId="7571B60A" w14:textId="77777777" w:rsidR="00F25F6E" w:rsidRPr="00C2234B" w:rsidRDefault="00F25F6E" w:rsidP="00F25F6E">
      <w:pPr>
        <w:widowControl w:val="0"/>
        <w:tabs>
          <w:tab w:val="clear" w:pos="1134"/>
          <w:tab w:val="clear" w:pos="1871"/>
          <w:tab w:val="clear" w:pos="2268"/>
          <w:tab w:val="left" w:pos="720"/>
        </w:tabs>
        <w:overflowPunct/>
        <w:spacing w:before="0"/>
        <w:jc w:val="both"/>
        <w:textAlignment w:val="auto"/>
      </w:pPr>
    </w:p>
    <w:p w14:paraId="723B800D" w14:textId="5639F939" w:rsidR="0078166F" w:rsidRPr="00C2234B" w:rsidRDefault="0078166F" w:rsidP="0078166F">
      <w:pPr>
        <w:rPr>
          <w:lang w:eastAsia="zh-CN"/>
        </w:rPr>
      </w:pPr>
      <w:bookmarkStart w:id="5" w:name="_Hlk210994569"/>
      <w:r w:rsidRPr="00C2234B">
        <w:t xml:space="preserve">Of the two sets of satellites from a non-GSO system,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  <m:r>
          <w:rPr>
            <w:rFonts w:ascii="Cambria Math" w:hAnsi="Cambria Math"/>
            <w:lang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satellites,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satellites are placing their main beam in the same location where the victim FS antenna is located. Hence it is assumed that these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satellites have compensated their transmission EIRP to maintain the target PFD at the collocated FS antenna even after taking into gaseous attenuation. However, the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  <m:r>
          <w:rPr>
            <w:rFonts w:ascii="Cambria Math" w:hAnsi="Cambria Math"/>
            <w:lang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satellites are adjusting their transmission EIRP for their target location which is different than the FS location. Figure below depicts the scenario. Hence, in considering contribution from these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  <m:r>
          <w:rPr>
            <w:rFonts w:ascii="Cambria Math" w:hAnsi="Cambria Math"/>
            <w:lang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C2234B">
        <w:rPr>
          <w:lang w:eastAsia="zh-CN"/>
        </w:rPr>
        <w:t xml:space="preserve"> satellites to the FS antenna, gaseous attenuation should be considered. </w:t>
      </w:r>
    </w:p>
    <w:bookmarkEnd w:id="5"/>
    <w:p w14:paraId="6FAC6A28" w14:textId="77777777" w:rsidR="0078166F" w:rsidRPr="00C2234B" w:rsidRDefault="0078166F" w:rsidP="0078166F">
      <w:pPr>
        <w:rPr>
          <w:lang w:eastAsia="zh-CN"/>
        </w:rPr>
      </w:pPr>
    </w:p>
    <w:p w14:paraId="44716F0D" w14:textId="77777777" w:rsidR="0078166F" w:rsidRPr="00C2234B" w:rsidRDefault="0078166F" w:rsidP="0078166F">
      <w:pPr>
        <w:rPr>
          <w:lang w:val="en-US" w:eastAsia="zh-CN"/>
        </w:rPr>
      </w:pPr>
      <w:r w:rsidRPr="00C2234B">
        <w:rPr>
          <w:noProof/>
          <w:lang w:val="en-US" w:eastAsia="zh-CN"/>
        </w:rPr>
        <w:drawing>
          <wp:inline distT="0" distB="0" distL="0" distR="0" wp14:anchorId="5E6A122A" wp14:editId="6238EAC3">
            <wp:extent cx="6120765" cy="2499995"/>
            <wp:effectExtent l="0" t="0" r="0" b="0"/>
            <wp:docPr id="17908108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1C90" w14:textId="77777777" w:rsidR="0078166F" w:rsidRPr="00C2234B" w:rsidRDefault="0078166F" w:rsidP="0078166F">
      <w:pPr>
        <w:rPr>
          <w:lang w:eastAsia="zh-CN"/>
        </w:rPr>
      </w:pPr>
    </w:p>
    <w:p w14:paraId="6E5AAE28" w14:textId="66D11A6F" w:rsidR="0078166F" w:rsidRPr="00C2234B" w:rsidRDefault="0078166F" w:rsidP="0078166F">
      <w:bookmarkStart w:id="6" w:name="_Hlk210994616"/>
      <w:r w:rsidRPr="00C2234B">
        <w:t xml:space="preserve">As mentioned in Recommendation ITU-R P.618, “At a given frequency the oxygen contribution to atmospheric absorption is relatively constant. However, both water vapour </w:t>
      </w:r>
      <w:r w:rsidR="00BE23F0" w:rsidRPr="00C2234B">
        <w:t>density,</w:t>
      </w:r>
      <w:r w:rsidRPr="00C2234B">
        <w:t xml:space="preserve"> and its vertical profile are quite variable. Typically, the maximum gaseous attenuation occurs during the season of maximum rainfall”. For this reason, as a conservative approach, we exclude gaseous attenuation </w:t>
      </w:r>
      <w:r w:rsidRPr="00C2234B">
        <w:lastRenderedPageBreak/>
        <w:t xml:space="preserve">from water vapour component, i.e., consider dry air scenario, and </w:t>
      </w:r>
      <w:proofErr w:type="gramStart"/>
      <w:r w:rsidRPr="00C2234B">
        <w:t>take into account</w:t>
      </w:r>
      <w:proofErr w:type="gramEnd"/>
      <w:r w:rsidRPr="00C2234B">
        <w:t xml:space="preserve"> only attenuation due to oxygen content in the atmosphere at the test location</w:t>
      </w:r>
      <w:r w:rsidR="00D44E35" w:rsidRPr="00C2234B">
        <w:t xml:space="preserve"> for the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  <m:r>
          <w:rPr>
            <w:rFonts w:ascii="Cambria Math" w:hAnsi="Cambria Math"/>
            <w:lang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="00D44E35" w:rsidRPr="00C2234B">
        <w:rPr>
          <w:lang w:eastAsia="zh-CN"/>
        </w:rPr>
        <w:t xml:space="preserve"> satellites</w:t>
      </w:r>
      <w:r w:rsidRPr="00C2234B">
        <w:t>.</w:t>
      </w:r>
    </w:p>
    <w:bookmarkEnd w:id="6"/>
    <w:p w14:paraId="20184F93" w14:textId="77777777" w:rsidR="00D345DB" w:rsidRPr="00C2234B" w:rsidRDefault="00D345DB" w:rsidP="00F25F6E">
      <w:pPr>
        <w:widowControl w:val="0"/>
        <w:tabs>
          <w:tab w:val="clear" w:pos="1134"/>
          <w:tab w:val="clear" w:pos="1871"/>
          <w:tab w:val="clear" w:pos="2268"/>
          <w:tab w:val="left" w:pos="720"/>
        </w:tabs>
        <w:overflowPunct/>
        <w:spacing w:before="0"/>
        <w:jc w:val="both"/>
        <w:textAlignment w:val="auto"/>
      </w:pPr>
    </w:p>
    <w:p w14:paraId="2661857C" w14:textId="4FE1AF8B" w:rsidR="00F25F6E" w:rsidRPr="00C2234B" w:rsidRDefault="00F25F6E" w:rsidP="00F25F6E">
      <w:pPr>
        <w:widowControl w:val="0"/>
        <w:tabs>
          <w:tab w:val="clear" w:pos="1134"/>
          <w:tab w:val="clear" w:pos="1871"/>
          <w:tab w:val="clear" w:pos="2268"/>
          <w:tab w:val="left" w:pos="720"/>
        </w:tabs>
        <w:overflowPunct/>
        <w:spacing w:before="0"/>
        <w:jc w:val="both"/>
        <w:textAlignment w:val="auto"/>
      </w:pPr>
      <w:r w:rsidRPr="00C2234B">
        <w:t>The protection criteria for FS safeguard used in this analysis are:</w:t>
      </w:r>
    </w:p>
    <w:p w14:paraId="064AB699" w14:textId="77777777" w:rsidR="00F25F6E" w:rsidRPr="00C2234B" w:rsidRDefault="00F25F6E" w:rsidP="00F25F6E">
      <w:pPr>
        <w:pStyle w:val="enumlev1"/>
      </w:pPr>
      <w:bookmarkStart w:id="7" w:name="_Hlk210124597"/>
      <w:proofErr w:type="gramStart"/>
      <w:r w:rsidRPr="00C2234B">
        <w:t>a</w:t>
      </w:r>
      <w:r w:rsidRPr="00C2234B">
        <w:tab/>
        <w:t>Long-term</w:t>
      </w:r>
      <w:proofErr w:type="gramEnd"/>
      <w:r w:rsidRPr="00C2234B">
        <w:t xml:space="preserve">:   </w:t>
      </w:r>
      <w:r w:rsidRPr="00C2234B">
        <w:rPr>
          <w:i/>
          <w:iCs/>
        </w:rPr>
        <w:t>I/N</w:t>
      </w:r>
      <w:r w:rsidRPr="00C2234B">
        <w:t xml:space="preserve"> should not exceed –10 dB for more than 20% of the time (derived from Recommendation ITU-R F.758-8)</w:t>
      </w:r>
    </w:p>
    <w:p w14:paraId="7B4BC92B" w14:textId="77777777" w:rsidR="00F25F6E" w:rsidRPr="00C2234B" w:rsidRDefault="00F25F6E" w:rsidP="00F25F6E">
      <w:pPr>
        <w:pStyle w:val="enumlev1"/>
      </w:pPr>
      <w:r w:rsidRPr="00C2234B">
        <w:t>b</w:t>
      </w:r>
      <w:r w:rsidRPr="00C2234B">
        <w:tab/>
        <w:t xml:space="preserve">Short-term:  </w:t>
      </w:r>
      <w:r w:rsidRPr="00C2234B">
        <w:rPr>
          <w:i/>
          <w:iCs/>
        </w:rPr>
        <w:t>I/N</w:t>
      </w:r>
      <w:r w:rsidRPr="00C2234B">
        <w:t xml:space="preserve"> should not exceed +11 dB for more than 0.00128% of the time in any month.</w:t>
      </w:r>
    </w:p>
    <w:bookmarkEnd w:id="7"/>
    <w:p w14:paraId="53B1F06A" w14:textId="77777777" w:rsidR="00131386" w:rsidRPr="00C2234B" w:rsidRDefault="00131386" w:rsidP="00131386">
      <w:pPr>
        <w:rPr>
          <w:b/>
          <w:bCs/>
        </w:rPr>
      </w:pPr>
    </w:p>
    <w:p w14:paraId="2954F925" w14:textId="40F6E5EA" w:rsidR="0081091D" w:rsidRDefault="0081091D" w:rsidP="00C2234B">
      <w:pPr>
        <w:pStyle w:val="Heading2"/>
      </w:pPr>
      <w:r w:rsidRPr="00C2234B">
        <w:t>Results of study # XY</w:t>
      </w:r>
    </w:p>
    <w:p w14:paraId="1683D68D" w14:textId="77777777" w:rsidR="00305A90" w:rsidRDefault="00305A90" w:rsidP="00305A90"/>
    <w:p w14:paraId="37978A2F" w14:textId="4B9D0736" w:rsidR="00305A90" w:rsidRPr="00305A90" w:rsidRDefault="00305A90" w:rsidP="00305A90">
      <w:pPr>
        <w:pStyle w:val="Heading3"/>
      </w:pPr>
      <w:r w:rsidRPr="00335D9F">
        <w:rPr>
          <w:lang w:val="en-US"/>
        </w:rPr>
        <w:t>ITU-R F.1245-3</w:t>
      </w:r>
      <w:r w:rsidRPr="00305A90">
        <w:t xml:space="preserve"> FS station antenna pattern</w:t>
      </w:r>
    </w:p>
    <w:p w14:paraId="3BE6B98A" w14:textId="34E38614" w:rsidR="0081091D" w:rsidRPr="00C2234B" w:rsidRDefault="0081091D" w:rsidP="0081091D">
      <w:r w:rsidRPr="00C2234B">
        <w:t>Figure 1-</w:t>
      </w:r>
      <w:r w:rsidR="00854BD6" w:rsidRPr="00C2234B">
        <w:t>6</w:t>
      </w:r>
      <w:r w:rsidRPr="00C2234B">
        <w:t xml:space="preserve"> </w:t>
      </w:r>
      <w:r w:rsidR="003A46BE" w:rsidRPr="00C2234B">
        <w:t>shows</w:t>
      </w:r>
      <w:r w:rsidRPr="00C2234B">
        <w:t xml:space="preserve"> aggregate I/N from the multiple selected GSO and </w:t>
      </w:r>
      <w:r w:rsidR="00CF0899">
        <w:t>four</w:t>
      </w:r>
      <w:r w:rsidRPr="00C2234B">
        <w:t xml:space="preserve"> non-GSO systems </w:t>
      </w:r>
      <w:r w:rsidR="003A46BE" w:rsidRPr="00C2234B">
        <w:t>for</w:t>
      </w:r>
    </w:p>
    <w:p w14:paraId="1D68A659" w14:textId="32CF5B20" w:rsidR="0081091D" w:rsidRPr="00C2234B" w:rsidRDefault="0081091D" w:rsidP="0081091D">
      <w:pPr>
        <w:pStyle w:val="enumlev1"/>
      </w:pPr>
      <w:r w:rsidRPr="00C2234B">
        <w:sym w:font="Wingdings" w:char="F09F"/>
      </w:r>
      <w:r w:rsidRPr="00C2234B">
        <w:tab/>
        <w:t xml:space="preserve">the </w:t>
      </w:r>
      <w:r w:rsidR="007C316F" w:rsidRPr="00335D9F">
        <w:rPr>
          <w:lang w:val="en-US"/>
        </w:rPr>
        <w:t>ITU-R F.1245-3</w:t>
      </w:r>
      <w:r w:rsidRPr="00C2234B">
        <w:t xml:space="preserve"> FS station antenna</w:t>
      </w:r>
      <w:r w:rsidR="007C316F">
        <w:t xml:space="preserve"> pattern</w:t>
      </w:r>
      <w:r w:rsidRPr="00C2234B">
        <w:t xml:space="preserve">, </w:t>
      </w:r>
    </w:p>
    <w:p w14:paraId="52C2552F" w14:textId="6EA2E200" w:rsidR="0081091D" w:rsidRPr="00C2234B" w:rsidRDefault="0081091D" w:rsidP="0081091D">
      <w:pPr>
        <w:pStyle w:val="enumlev1"/>
      </w:pPr>
      <w:r w:rsidRPr="00C2234B">
        <w:sym w:font="Wingdings" w:char="F09F"/>
      </w:r>
      <w:r w:rsidRPr="00C2234B">
        <w:tab/>
      </w:r>
      <w:r w:rsidR="00EC0415" w:rsidRPr="00C2234B">
        <w:t>pointing at two different azimuth directions (results can be provided with 20° intervals upon request)</w:t>
      </w:r>
    </w:p>
    <w:p w14:paraId="044AD667" w14:textId="62F1BCC3" w:rsidR="0081091D" w:rsidRPr="00C2234B" w:rsidRDefault="0081091D" w:rsidP="0081091D">
      <w:pPr>
        <w:pStyle w:val="enumlev1"/>
      </w:pPr>
      <w:r w:rsidRPr="00C2234B">
        <w:sym w:font="Wingdings" w:char="F09F"/>
      </w:r>
      <w:r w:rsidRPr="00C2234B">
        <w:tab/>
        <w:t>for maximum FS antenna elevation angle of 5°</w:t>
      </w:r>
      <w:r w:rsidR="007C316F">
        <w:t>,7.5</w:t>
      </w:r>
      <w:r w:rsidR="007C316F" w:rsidRPr="00C2234B">
        <w:t>°</w:t>
      </w:r>
      <w:r w:rsidR="007C316F">
        <w:t xml:space="preserve"> and 10</w:t>
      </w:r>
      <w:r w:rsidR="007C316F" w:rsidRPr="00C2234B">
        <w:t>°</w:t>
      </w:r>
    </w:p>
    <w:p w14:paraId="460FD73A" w14:textId="77777777" w:rsidR="0081091D" w:rsidRPr="00C2234B" w:rsidRDefault="0081091D" w:rsidP="0081091D">
      <w:pPr>
        <w:pStyle w:val="enumlev1"/>
      </w:pPr>
      <w:r w:rsidRPr="00C2234B">
        <w:sym w:font="Wingdings" w:char="F09F"/>
      </w:r>
      <w:r w:rsidRPr="00C2234B">
        <w:tab/>
        <w:t xml:space="preserve">at a representative frequency (i.e., 73.5 GHz). </w:t>
      </w:r>
    </w:p>
    <w:p w14:paraId="433374CD" w14:textId="4CA5F7C7" w:rsidR="00FF268C" w:rsidRPr="00C2234B" w:rsidRDefault="00EC0415">
      <w:r w:rsidRPr="00C2234B">
        <w:t>Each figure only shows I/N for clear sky condition.</w:t>
      </w:r>
    </w:p>
    <w:p w14:paraId="31444F1E" w14:textId="58F9218E" w:rsidR="00FF268C" w:rsidRPr="00C2234B" w:rsidRDefault="00FF268C" w:rsidP="00C2234B">
      <w:pPr>
        <w:jc w:val="center"/>
        <w:rPr>
          <w:i/>
          <w:iCs/>
        </w:rPr>
      </w:pPr>
      <w:r w:rsidRPr="00C2234B">
        <w:br w:type="page"/>
      </w:r>
      <w:r w:rsidR="00522B69" w:rsidRPr="00C2234B">
        <w:lastRenderedPageBreak/>
        <w:t>Figure 1</w:t>
      </w:r>
    </w:p>
    <w:p w14:paraId="249C0BF7" w14:textId="59A4DC0A" w:rsidR="00FF268C" w:rsidRPr="00C2234B" w:rsidRDefault="00FF268C" w:rsidP="00FF268C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7C316F">
        <w:t>45</w:t>
      </w:r>
      <w:r w:rsidRPr="00C2234B">
        <w:t>°N, Azimuth 0°</w:t>
      </w:r>
    </w:p>
    <w:p w14:paraId="1183C2F2" w14:textId="77777777" w:rsidR="00FF268C" w:rsidRPr="00C2234B" w:rsidRDefault="00FF268C" w:rsidP="00FF268C">
      <w:pPr>
        <w:pStyle w:val="Figure"/>
        <w:rPr>
          <w:noProof w:val="0"/>
        </w:rPr>
      </w:pPr>
      <w:r w:rsidRPr="00C2234B">
        <w:drawing>
          <wp:inline distT="0" distB="0" distL="0" distR="0" wp14:anchorId="5B2FAFED" wp14:editId="43397223">
            <wp:extent cx="4855331" cy="3445585"/>
            <wp:effectExtent l="0" t="0" r="2540" b="2540"/>
            <wp:docPr id="1411340154" name="Picture 141134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40154" name="Picture 141134015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9" b="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4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DA8AF2" w14:textId="77777777" w:rsidR="00FF268C" w:rsidRPr="00C2234B" w:rsidRDefault="00FF268C" w:rsidP="00FF268C">
      <w:pPr>
        <w:pStyle w:val="FigureNo"/>
        <w:rPr>
          <w:i/>
          <w:iCs/>
        </w:rPr>
      </w:pPr>
      <w:r w:rsidRPr="00C2234B">
        <w:t>Figure 2</w:t>
      </w:r>
    </w:p>
    <w:p w14:paraId="09110EE7" w14:textId="04B2FE99" w:rsidR="00FF268C" w:rsidRPr="00C2234B" w:rsidRDefault="00FF268C" w:rsidP="00FF268C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7C316F">
        <w:t>45</w:t>
      </w:r>
      <w:r w:rsidRPr="00C2234B">
        <w:t>°N, Azimuth 180°</w:t>
      </w:r>
    </w:p>
    <w:p w14:paraId="6E75751A" w14:textId="77777777" w:rsidR="00FF268C" w:rsidRPr="00C2234B" w:rsidRDefault="00FF268C" w:rsidP="00FF268C">
      <w:pPr>
        <w:pStyle w:val="Figure"/>
        <w:rPr>
          <w:noProof w:val="0"/>
        </w:rPr>
      </w:pPr>
      <w:r w:rsidRPr="00C2234B">
        <w:drawing>
          <wp:inline distT="0" distB="0" distL="0" distR="0" wp14:anchorId="0AFCC448" wp14:editId="089CA3EA">
            <wp:extent cx="4855331" cy="3430955"/>
            <wp:effectExtent l="0" t="0" r="2540" b="0"/>
            <wp:docPr id="1445003908" name="Picture 144500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03908" name="Picture 144500390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" b="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A67B3" w14:textId="77777777" w:rsidR="00FF268C" w:rsidRPr="00C2234B" w:rsidRDefault="00FF268C" w:rsidP="00FF268C">
      <w:pPr>
        <w:pStyle w:val="FigureNo"/>
        <w:rPr>
          <w:i/>
          <w:iCs/>
        </w:rPr>
      </w:pPr>
      <w:r w:rsidRPr="00C2234B">
        <w:rPr>
          <w:lang w:eastAsia="zh-CN"/>
        </w:rPr>
        <w:br w:type="page"/>
      </w:r>
      <w:r w:rsidRPr="00C2234B">
        <w:lastRenderedPageBreak/>
        <w:t>Figure  3</w:t>
      </w:r>
    </w:p>
    <w:p w14:paraId="2F08FE3E" w14:textId="77777777" w:rsidR="00FF268C" w:rsidRPr="00C2234B" w:rsidRDefault="00FF268C" w:rsidP="00FF268C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45°N, Azimuth 0°</w:t>
      </w:r>
    </w:p>
    <w:p w14:paraId="070E5D8E" w14:textId="77777777" w:rsidR="00FF268C" w:rsidRPr="00C2234B" w:rsidRDefault="00FF268C" w:rsidP="00FF268C">
      <w:pPr>
        <w:pStyle w:val="Figure"/>
        <w:rPr>
          <w:noProof w:val="0"/>
        </w:rPr>
      </w:pPr>
      <w:r w:rsidRPr="00C2234B">
        <w:drawing>
          <wp:inline distT="0" distB="0" distL="0" distR="0" wp14:anchorId="6B90010D" wp14:editId="157A6604">
            <wp:extent cx="4855331" cy="3445585"/>
            <wp:effectExtent l="0" t="0" r="2540" b="2540"/>
            <wp:docPr id="935145285" name="Picture 935145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145285" name="Picture 93514528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9" b="1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4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7B992" w14:textId="77777777" w:rsidR="00FF268C" w:rsidRPr="00C2234B" w:rsidRDefault="00FF268C" w:rsidP="00FF268C">
      <w:pPr>
        <w:pStyle w:val="FigureNo"/>
        <w:rPr>
          <w:i/>
          <w:iCs/>
        </w:rPr>
      </w:pPr>
      <w:r w:rsidRPr="00C2234B">
        <w:t>Figure 4</w:t>
      </w:r>
    </w:p>
    <w:p w14:paraId="0806FD98" w14:textId="77777777" w:rsidR="00FF268C" w:rsidRPr="00C2234B" w:rsidRDefault="00FF268C" w:rsidP="00FF268C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45°N, Azimuth 180°</w:t>
      </w:r>
    </w:p>
    <w:p w14:paraId="0F3B64BF" w14:textId="77777777" w:rsidR="00FF268C" w:rsidRPr="00C2234B" w:rsidRDefault="00FF268C" w:rsidP="00FF268C">
      <w:pPr>
        <w:pStyle w:val="Figure"/>
        <w:rPr>
          <w:noProof w:val="0"/>
        </w:rPr>
      </w:pPr>
      <w:r w:rsidRPr="00C2234B">
        <w:drawing>
          <wp:inline distT="0" distB="0" distL="0" distR="0" wp14:anchorId="29979D05" wp14:editId="3FB78B79">
            <wp:extent cx="4855331" cy="3430955"/>
            <wp:effectExtent l="0" t="0" r="2540" b="0"/>
            <wp:docPr id="254164040" name="Picture 254164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164040" name="Picture 25416404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" b="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94B386" w14:textId="77777777" w:rsidR="00FF268C" w:rsidRPr="00C2234B" w:rsidRDefault="00FF268C" w:rsidP="00FF268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C2234B">
        <w:rPr>
          <w:lang w:eastAsia="zh-CN"/>
        </w:rPr>
        <w:br w:type="page"/>
      </w:r>
    </w:p>
    <w:p w14:paraId="07B8081B" w14:textId="77777777" w:rsidR="00FF268C" w:rsidRPr="00C2234B" w:rsidRDefault="00FF268C" w:rsidP="00FF268C">
      <w:pPr>
        <w:pStyle w:val="FigureNo"/>
        <w:rPr>
          <w:i/>
          <w:iCs/>
        </w:rPr>
      </w:pPr>
      <w:r w:rsidRPr="00C2234B">
        <w:lastRenderedPageBreak/>
        <w:t>Figure  5</w:t>
      </w:r>
    </w:p>
    <w:p w14:paraId="3A1BA0FE" w14:textId="51159756" w:rsidR="00FF268C" w:rsidRPr="00C2234B" w:rsidRDefault="00FF268C" w:rsidP="00FF268C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7C316F">
        <w:t>45</w:t>
      </w:r>
      <w:r w:rsidRPr="00C2234B">
        <w:t>°N, Azimuth 0°</w:t>
      </w:r>
    </w:p>
    <w:p w14:paraId="50FBF80E" w14:textId="77777777" w:rsidR="00FF268C" w:rsidRPr="00C2234B" w:rsidRDefault="00FF268C" w:rsidP="00FF268C">
      <w:pPr>
        <w:pStyle w:val="Figure"/>
        <w:rPr>
          <w:noProof w:val="0"/>
        </w:rPr>
      </w:pPr>
      <w:r w:rsidRPr="00C2234B">
        <w:drawing>
          <wp:inline distT="0" distB="0" distL="0" distR="0" wp14:anchorId="2D557D7D" wp14:editId="261D6898">
            <wp:extent cx="4855331" cy="3445585"/>
            <wp:effectExtent l="0" t="0" r="2540" b="2540"/>
            <wp:docPr id="643192955" name="Picture 64319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92955" name="Picture 643192955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9" b="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4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680B5F" w14:textId="77777777" w:rsidR="00FF268C" w:rsidRPr="00C2234B" w:rsidRDefault="00FF268C" w:rsidP="00FF268C">
      <w:pPr>
        <w:pStyle w:val="FigureNo"/>
        <w:rPr>
          <w:i/>
          <w:iCs/>
        </w:rPr>
      </w:pPr>
      <w:r w:rsidRPr="00C2234B">
        <w:t>Figure 6</w:t>
      </w:r>
    </w:p>
    <w:p w14:paraId="4B8936FE" w14:textId="33BDD655" w:rsidR="00FF268C" w:rsidRPr="00C2234B" w:rsidRDefault="00FF268C" w:rsidP="00FF268C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7C316F">
        <w:t>45</w:t>
      </w:r>
      <w:r w:rsidRPr="00C2234B">
        <w:t>°N, Azimuth 180°</w:t>
      </w:r>
    </w:p>
    <w:p w14:paraId="6A0F954C" w14:textId="77777777" w:rsidR="00FF268C" w:rsidRPr="00C2234B" w:rsidRDefault="00FF268C" w:rsidP="00FF268C">
      <w:pPr>
        <w:pStyle w:val="Figure"/>
        <w:rPr>
          <w:noProof w:val="0"/>
        </w:rPr>
      </w:pPr>
      <w:r w:rsidRPr="00C2234B">
        <w:drawing>
          <wp:inline distT="0" distB="0" distL="0" distR="0" wp14:anchorId="1DDF1162" wp14:editId="7627F6C8">
            <wp:extent cx="4855331" cy="3430955"/>
            <wp:effectExtent l="0" t="0" r="2540" b="0"/>
            <wp:docPr id="1624289458" name="Picture 1624289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89458" name="Picture 162428945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0" b="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F7B71" w14:textId="77777777" w:rsidR="00FF268C" w:rsidRPr="00C2234B" w:rsidRDefault="00FF268C" w:rsidP="00FF268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2CE10F1A" w14:textId="028FA167" w:rsidR="00FF268C" w:rsidRPr="00C2234B" w:rsidRDefault="00FF268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6010336B" w14:textId="77777777" w:rsidR="00305A90" w:rsidRDefault="00305A90" w:rsidP="00DF0855"/>
    <w:p w14:paraId="2D633EDC" w14:textId="536F4C85" w:rsidR="00305A90" w:rsidRPr="00305A90" w:rsidRDefault="00305A90" w:rsidP="00305A90">
      <w:pPr>
        <w:pStyle w:val="Heading3"/>
      </w:pPr>
      <w:r w:rsidRPr="00220983">
        <w:lastRenderedPageBreak/>
        <w:t>EN</w:t>
      </w:r>
      <w:r w:rsidRPr="00305A90">
        <w:t xml:space="preserve"> </w:t>
      </w:r>
      <w:r w:rsidRPr="00220983">
        <w:t>302</w:t>
      </w:r>
      <w:r w:rsidRPr="00305A90">
        <w:t xml:space="preserve"> </w:t>
      </w:r>
      <w:r w:rsidRPr="00220983">
        <w:t>217-4</w:t>
      </w:r>
      <w:r w:rsidRPr="00305A90">
        <w:t xml:space="preserve"> </w:t>
      </w:r>
      <w:r w:rsidRPr="00220983">
        <w:t>Class-3</w:t>
      </w:r>
      <w:r w:rsidRPr="00305A90">
        <w:t>FS station antenna pattern</w:t>
      </w:r>
    </w:p>
    <w:p w14:paraId="605B9272" w14:textId="17F466D4" w:rsidR="00DF0855" w:rsidRPr="00C2234B" w:rsidRDefault="00DF0855" w:rsidP="00DF0855">
      <w:r w:rsidRPr="00C2234B">
        <w:t xml:space="preserve">Similarly, Figure </w:t>
      </w:r>
      <w:r w:rsidR="00FF268C" w:rsidRPr="00C2234B">
        <w:t>7-12</w:t>
      </w:r>
      <w:r w:rsidRPr="00C2234B">
        <w:t xml:space="preserve"> </w:t>
      </w:r>
      <w:r w:rsidR="00FF268C" w:rsidRPr="00C2234B">
        <w:t>shows</w:t>
      </w:r>
      <w:r w:rsidRPr="00C2234B">
        <w:t xml:space="preserve"> aggregate I/N from the same selected GSO and </w:t>
      </w:r>
      <w:r w:rsidR="00CF0899">
        <w:t>four</w:t>
      </w:r>
      <w:r w:rsidRPr="00C2234B">
        <w:t xml:space="preserve"> non-GSO systems </w:t>
      </w:r>
      <w:r w:rsidR="00FF268C" w:rsidRPr="00C2234B">
        <w:t>for</w:t>
      </w:r>
    </w:p>
    <w:p w14:paraId="340E1919" w14:textId="766E78FD" w:rsidR="00DF0855" w:rsidRPr="00C2234B" w:rsidRDefault="00DF0855" w:rsidP="00DF0855">
      <w:pPr>
        <w:pStyle w:val="enumlev1"/>
      </w:pPr>
      <w:r w:rsidRPr="00C2234B">
        <w:sym w:font="Wingdings" w:char="F09F"/>
      </w:r>
      <w:r w:rsidRPr="00C2234B">
        <w:tab/>
        <w:t xml:space="preserve">the </w:t>
      </w:r>
      <w:r w:rsidR="006D5626" w:rsidRPr="00220983">
        <w:t>EN</w:t>
      </w:r>
      <w:r w:rsidR="006D5626" w:rsidRPr="00305A90">
        <w:t xml:space="preserve"> </w:t>
      </w:r>
      <w:r w:rsidR="006D5626" w:rsidRPr="00220983">
        <w:t>302</w:t>
      </w:r>
      <w:r w:rsidR="006D5626" w:rsidRPr="00305A90">
        <w:t xml:space="preserve"> </w:t>
      </w:r>
      <w:r w:rsidR="006D5626" w:rsidRPr="00220983">
        <w:t>217-4</w:t>
      </w:r>
      <w:r w:rsidR="006D5626" w:rsidRPr="00305A90">
        <w:t xml:space="preserve"> </w:t>
      </w:r>
      <w:r w:rsidR="006D5626" w:rsidRPr="00220983">
        <w:t>Class-3</w:t>
      </w:r>
      <w:r w:rsidRPr="00C2234B">
        <w:t>FS station antenna</w:t>
      </w:r>
      <w:r w:rsidR="006D5626">
        <w:t xml:space="preserve"> pattern</w:t>
      </w:r>
      <w:r w:rsidRPr="00C2234B">
        <w:t xml:space="preserve">, </w:t>
      </w:r>
    </w:p>
    <w:p w14:paraId="1BE5AD53" w14:textId="4B2A20FF" w:rsidR="00DF0855" w:rsidRPr="00C2234B" w:rsidRDefault="00DF0855" w:rsidP="00DF0855">
      <w:pPr>
        <w:pStyle w:val="enumlev1"/>
      </w:pPr>
      <w:r w:rsidRPr="00C2234B">
        <w:sym w:font="Wingdings" w:char="F09F"/>
      </w:r>
      <w:r w:rsidRPr="00C2234B">
        <w:tab/>
      </w:r>
      <w:r w:rsidR="00FF268C" w:rsidRPr="00C2234B">
        <w:t>pointing at two different azimuth directions (results can be provided with 20° intervals upon request)</w:t>
      </w:r>
    </w:p>
    <w:p w14:paraId="55370971" w14:textId="0B22441A" w:rsidR="00DF0855" w:rsidRPr="00C2234B" w:rsidRDefault="00DF0855" w:rsidP="00DF0855">
      <w:pPr>
        <w:pStyle w:val="enumlev1"/>
      </w:pPr>
      <w:r w:rsidRPr="00C2234B">
        <w:sym w:font="Wingdings" w:char="F09F"/>
      </w:r>
      <w:r w:rsidRPr="00C2234B">
        <w:tab/>
        <w:t>for maximum FS antenna elevation angle of 5°,</w:t>
      </w:r>
      <w:r w:rsidR="006D5626">
        <w:t xml:space="preserve"> 7.</w:t>
      </w:r>
      <w:r w:rsidR="006D5626" w:rsidRPr="00C2234B">
        <w:t>5°</w:t>
      </w:r>
      <w:r w:rsidR="006D5626">
        <w:t xml:space="preserve"> and 10</w:t>
      </w:r>
      <w:r w:rsidR="006D5626" w:rsidRPr="00C2234B">
        <w:t>°</w:t>
      </w:r>
    </w:p>
    <w:p w14:paraId="3B72080C" w14:textId="77777777" w:rsidR="00DF0855" w:rsidRPr="00C2234B" w:rsidRDefault="00DF0855" w:rsidP="00DF0855">
      <w:pPr>
        <w:pStyle w:val="enumlev1"/>
      </w:pPr>
      <w:r w:rsidRPr="00C2234B">
        <w:sym w:font="Wingdings" w:char="F09F"/>
      </w:r>
      <w:r w:rsidRPr="00C2234B">
        <w:tab/>
        <w:t>at same representative frequency (i.e., 73.5 GHz).</w:t>
      </w:r>
    </w:p>
    <w:p w14:paraId="72D5EAE5" w14:textId="77777777" w:rsidR="00D428F9" w:rsidRPr="00C2234B" w:rsidRDefault="00D428F9" w:rsidP="00D428F9">
      <w:r w:rsidRPr="00C2234B">
        <w:t>Each figure only shows I/N for clear sky condition.</w:t>
      </w:r>
    </w:p>
    <w:p w14:paraId="1958942B" w14:textId="4BFC4842" w:rsidR="00D428F9" w:rsidRPr="00C2234B" w:rsidRDefault="00D428F9" w:rsidP="00D428F9">
      <w:pPr>
        <w:pStyle w:val="FigureNo"/>
        <w:rPr>
          <w:i/>
          <w:iCs/>
        </w:rPr>
      </w:pPr>
      <w:r w:rsidRPr="00C2234B">
        <w:br w:type="page"/>
      </w:r>
      <w:r w:rsidRPr="00C2234B">
        <w:lastRenderedPageBreak/>
        <w:t xml:space="preserve"> Figure  7</w:t>
      </w:r>
    </w:p>
    <w:p w14:paraId="7638E3A0" w14:textId="395995C6" w:rsidR="00D428F9" w:rsidRPr="00C2234B" w:rsidRDefault="00D428F9" w:rsidP="00D428F9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6D5626">
        <w:t>45</w:t>
      </w:r>
      <w:r w:rsidRPr="00C2234B">
        <w:t>°N, Azimuth 0°</w:t>
      </w:r>
    </w:p>
    <w:p w14:paraId="7F815F31" w14:textId="77777777" w:rsidR="00D428F9" w:rsidRPr="00C2234B" w:rsidRDefault="00D428F9" w:rsidP="00D428F9">
      <w:pPr>
        <w:pStyle w:val="Figure"/>
        <w:rPr>
          <w:noProof w:val="0"/>
        </w:rPr>
      </w:pPr>
      <w:r w:rsidRPr="00C2234B">
        <w:drawing>
          <wp:inline distT="0" distB="0" distL="0" distR="0" wp14:anchorId="09AA1C3D" wp14:editId="463F7460">
            <wp:extent cx="4855331" cy="3445585"/>
            <wp:effectExtent l="0" t="0" r="2540" b="2540"/>
            <wp:docPr id="789537716" name="Picture 789537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37716" name="Picture 78953771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" r="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4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2DD490" w14:textId="77777777" w:rsidR="00D428F9" w:rsidRPr="00C2234B" w:rsidRDefault="00D428F9" w:rsidP="00D428F9">
      <w:pPr>
        <w:pStyle w:val="FigureNo"/>
        <w:rPr>
          <w:i/>
          <w:iCs/>
        </w:rPr>
      </w:pPr>
      <w:r w:rsidRPr="00C2234B">
        <w:t>Figure 8</w:t>
      </w:r>
    </w:p>
    <w:p w14:paraId="7640523B" w14:textId="640C726C" w:rsidR="00D428F9" w:rsidRPr="00C2234B" w:rsidRDefault="00D428F9" w:rsidP="00D428F9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6D5626">
        <w:t>45</w:t>
      </w:r>
      <w:r w:rsidRPr="00C2234B">
        <w:t>°N, Azimuth 180°</w:t>
      </w:r>
    </w:p>
    <w:p w14:paraId="1C9F8AEF" w14:textId="77777777" w:rsidR="00D428F9" w:rsidRPr="00C2234B" w:rsidRDefault="00D428F9" w:rsidP="00D428F9">
      <w:pPr>
        <w:pStyle w:val="Figure"/>
        <w:rPr>
          <w:noProof w:val="0"/>
        </w:rPr>
      </w:pPr>
      <w:r w:rsidRPr="00C2234B">
        <w:drawing>
          <wp:inline distT="0" distB="0" distL="0" distR="0" wp14:anchorId="446AB128" wp14:editId="0C53F3AE">
            <wp:extent cx="4855331" cy="3430955"/>
            <wp:effectExtent l="0" t="0" r="2540" b="0"/>
            <wp:docPr id="1405505901" name="Picture 1405505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05901" name="Picture 1405505901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r="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1C313" w14:textId="77777777" w:rsidR="00D428F9" w:rsidRPr="00C2234B" w:rsidRDefault="00D428F9" w:rsidP="00D428F9">
      <w:pPr>
        <w:pStyle w:val="FigureNo"/>
        <w:rPr>
          <w:i/>
          <w:iCs/>
        </w:rPr>
      </w:pPr>
      <w:r w:rsidRPr="00C2234B">
        <w:rPr>
          <w:lang w:eastAsia="zh-CN"/>
        </w:rPr>
        <w:br w:type="page"/>
      </w:r>
      <w:r w:rsidRPr="00C2234B">
        <w:lastRenderedPageBreak/>
        <w:t>Figure  9</w:t>
      </w:r>
    </w:p>
    <w:p w14:paraId="6BC577FB" w14:textId="77777777" w:rsidR="00D428F9" w:rsidRPr="00C2234B" w:rsidRDefault="00D428F9" w:rsidP="00D428F9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45°N, Azimuth 0°</w:t>
      </w:r>
    </w:p>
    <w:p w14:paraId="1198CE59" w14:textId="77777777" w:rsidR="00D428F9" w:rsidRPr="00C2234B" w:rsidRDefault="00D428F9" w:rsidP="00D428F9">
      <w:pPr>
        <w:pStyle w:val="Figure"/>
        <w:rPr>
          <w:noProof w:val="0"/>
        </w:rPr>
      </w:pPr>
      <w:r w:rsidRPr="00C2234B">
        <w:drawing>
          <wp:inline distT="0" distB="0" distL="0" distR="0" wp14:anchorId="4B389F5E" wp14:editId="3098779A">
            <wp:extent cx="4855331" cy="3445585"/>
            <wp:effectExtent l="0" t="0" r="2540" b="2540"/>
            <wp:docPr id="1319105240" name="Picture 131910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05240" name="Picture 131910524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4" r="3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4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30F10B" w14:textId="77777777" w:rsidR="00D428F9" w:rsidRPr="00C2234B" w:rsidRDefault="00D428F9" w:rsidP="00D428F9">
      <w:pPr>
        <w:pStyle w:val="FigureNo"/>
        <w:rPr>
          <w:i/>
          <w:iCs/>
        </w:rPr>
      </w:pPr>
      <w:r w:rsidRPr="00C2234B">
        <w:t>Figure 10</w:t>
      </w:r>
    </w:p>
    <w:p w14:paraId="269BFC21" w14:textId="77777777" w:rsidR="00D428F9" w:rsidRPr="00C2234B" w:rsidRDefault="00D428F9" w:rsidP="00D428F9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45°N, Azimuth 180°</w:t>
      </w:r>
    </w:p>
    <w:p w14:paraId="49243C41" w14:textId="77777777" w:rsidR="00D428F9" w:rsidRPr="00C2234B" w:rsidRDefault="00D428F9" w:rsidP="00D428F9">
      <w:pPr>
        <w:pStyle w:val="Figure"/>
        <w:rPr>
          <w:noProof w:val="0"/>
        </w:rPr>
      </w:pPr>
      <w:r w:rsidRPr="00C2234B">
        <w:drawing>
          <wp:inline distT="0" distB="0" distL="0" distR="0" wp14:anchorId="74894055" wp14:editId="48590DD8">
            <wp:extent cx="4855331" cy="3430955"/>
            <wp:effectExtent l="0" t="0" r="2540" b="0"/>
            <wp:docPr id="1286619842" name="Picture 1286619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619842" name="Picture 128661984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r="4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86148" w14:textId="77777777" w:rsidR="00D428F9" w:rsidRPr="00C2234B" w:rsidRDefault="00D428F9" w:rsidP="00D428F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 w:rsidRPr="00C2234B">
        <w:rPr>
          <w:lang w:eastAsia="zh-CN"/>
        </w:rPr>
        <w:br w:type="page"/>
      </w:r>
    </w:p>
    <w:p w14:paraId="3E28CE90" w14:textId="77777777" w:rsidR="00D428F9" w:rsidRPr="00C2234B" w:rsidRDefault="00D428F9" w:rsidP="00D428F9">
      <w:pPr>
        <w:pStyle w:val="FigureNo"/>
        <w:rPr>
          <w:i/>
          <w:iCs/>
        </w:rPr>
      </w:pPr>
      <w:r w:rsidRPr="00C2234B">
        <w:lastRenderedPageBreak/>
        <w:t>Figure  11</w:t>
      </w:r>
    </w:p>
    <w:p w14:paraId="3E894820" w14:textId="79876B5E" w:rsidR="00D428F9" w:rsidRPr="00C2234B" w:rsidRDefault="00D428F9" w:rsidP="00D428F9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6D5626">
        <w:t>45</w:t>
      </w:r>
      <w:r w:rsidRPr="00C2234B">
        <w:t>°N, Azimuth 0°</w:t>
      </w:r>
    </w:p>
    <w:p w14:paraId="33A0B6FD" w14:textId="77777777" w:rsidR="00D428F9" w:rsidRPr="00C2234B" w:rsidRDefault="00D428F9" w:rsidP="00D428F9">
      <w:pPr>
        <w:pStyle w:val="Figure"/>
        <w:rPr>
          <w:noProof w:val="0"/>
        </w:rPr>
      </w:pPr>
      <w:r w:rsidRPr="00C2234B">
        <w:drawing>
          <wp:inline distT="0" distB="0" distL="0" distR="0" wp14:anchorId="59C59D03" wp14:editId="6819C601">
            <wp:extent cx="4855331" cy="3445585"/>
            <wp:effectExtent l="0" t="0" r="2540" b="2540"/>
            <wp:docPr id="762504631" name="Picture 762504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504631" name="Picture 76250463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6" r="4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45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8C6B3" w14:textId="77777777" w:rsidR="00D428F9" w:rsidRPr="00C2234B" w:rsidRDefault="00D428F9" w:rsidP="00D428F9">
      <w:pPr>
        <w:pStyle w:val="FigureNo"/>
        <w:rPr>
          <w:i/>
          <w:iCs/>
        </w:rPr>
      </w:pPr>
      <w:r w:rsidRPr="00C2234B">
        <w:t>Figure 12</w:t>
      </w:r>
    </w:p>
    <w:p w14:paraId="7B0BA31B" w14:textId="1EA5D94C" w:rsidR="00D428F9" w:rsidRPr="00C2234B" w:rsidRDefault="00D428F9" w:rsidP="00D428F9">
      <w:pPr>
        <w:pStyle w:val="Figuretitle"/>
      </w:pPr>
      <w:r w:rsidRPr="00C2234B">
        <w:t xml:space="preserve">Aggregate </w:t>
      </w:r>
      <w:r w:rsidRPr="00C2234B">
        <w:rPr>
          <w:i/>
          <w:iCs/>
        </w:rPr>
        <w:t>I/N</w:t>
      </w:r>
      <w:r w:rsidRPr="00C2234B">
        <w:t xml:space="preserve"> from Selected Systems at </w:t>
      </w:r>
      <w:r w:rsidR="006D5626">
        <w:t>45</w:t>
      </w:r>
      <w:r w:rsidRPr="00C2234B">
        <w:t>°N, Azimuth 180°</w:t>
      </w:r>
    </w:p>
    <w:p w14:paraId="087D3A19" w14:textId="3B00CF3A" w:rsidR="00BB4EE9" w:rsidRDefault="00D428F9" w:rsidP="00D428F9">
      <w:pPr>
        <w:pStyle w:val="Figure"/>
        <w:rPr>
          <w:noProof w:val="0"/>
        </w:rPr>
      </w:pPr>
      <w:r w:rsidRPr="00C2234B">
        <w:drawing>
          <wp:inline distT="0" distB="0" distL="0" distR="0" wp14:anchorId="6E89242C" wp14:editId="5A96EE4B">
            <wp:extent cx="4855331" cy="3430955"/>
            <wp:effectExtent l="0" t="0" r="2540" b="0"/>
            <wp:docPr id="1194297500" name="Picture 1194297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297500" name="Picture 1194297500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r="4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331" cy="343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AAEED" w14:textId="77777777" w:rsidR="00BB4EE9" w:rsidRDefault="00BB4EE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br w:type="page"/>
      </w:r>
    </w:p>
    <w:p w14:paraId="746AA9CB" w14:textId="123E3E41" w:rsidR="00D428F9" w:rsidRPr="006C5521" w:rsidRDefault="00BB4EE9" w:rsidP="00305A90">
      <w:pPr>
        <w:pStyle w:val="Heading2"/>
      </w:pPr>
      <w:r>
        <w:lastRenderedPageBreak/>
        <w:t>Discussion</w:t>
      </w:r>
    </w:p>
    <w:p w14:paraId="472A8B27" w14:textId="77777777" w:rsidR="00D428F9" w:rsidRDefault="00D428F9" w:rsidP="00D428F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61D4F3AA" w14:textId="168B9AA9" w:rsidR="00F02806" w:rsidRDefault="00F02806" w:rsidP="00E6013D">
      <w:pPr>
        <w:pStyle w:val="Heading3"/>
        <w:rPr>
          <w:lang w:eastAsia="zh-CN"/>
        </w:rPr>
      </w:pPr>
      <w:r>
        <w:rPr>
          <w:lang w:eastAsia="zh-CN"/>
        </w:rPr>
        <w:t>Elevation angle</w:t>
      </w:r>
    </w:p>
    <w:p w14:paraId="4A666FB2" w14:textId="77777777" w:rsidR="00E6013D" w:rsidRPr="00E6013D" w:rsidRDefault="00E6013D" w:rsidP="00E6013D">
      <w:pPr>
        <w:rPr>
          <w:lang w:eastAsia="zh-CN"/>
        </w:rPr>
      </w:pPr>
    </w:p>
    <w:p w14:paraId="35AAB1E9" w14:textId="45765369" w:rsidR="00F02806" w:rsidRDefault="007D5C2F" w:rsidP="00F0280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t>During the</w:t>
      </w:r>
      <w:r w:rsidR="00F02806">
        <w:rPr>
          <w:lang w:eastAsia="zh-CN"/>
        </w:rPr>
        <w:t xml:space="preserve"> WP5C meeting</w:t>
      </w:r>
      <w:r>
        <w:rPr>
          <w:lang w:eastAsia="zh-CN"/>
        </w:rPr>
        <w:t xml:space="preserve"> of November 2025</w:t>
      </w:r>
      <w:r w:rsidR="00CF0899">
        <w:rPr>
          <w:lang w:eastAsia="zh-CN"/>
        </w:rPr>
        <w:t>,</w:t>
      </w:r>
      <w:r>
        <w:rPr>
          <w:lang w:eastAsia="zh-CN"/>
        </w:rPr>
        <w:t xml:space="preserve"> the meeting agreed to consider both maximum FS victim elevation angles</w:t>
      </w:r>
      <w:r w:rsidR="00CF0899">
        <w:rPr>
          <w:lang w:eastAsia="zh-CN"/>
        </w:rPr>
        <w:t xml:space="preserve"> </w:t>
      </w:r>
      <w:r w:rsidR="00F02806" w:rsidRPr="00F02806">
        <w:rPr>
          <w:lang w:eastAsia="zh-CN"/>
        </w:rPr>
        <w:t>of 5º and 10°</w:t>
      </w:r>
      <w:r>
        <w:rPr>
          <w:lang w:eastAsia="zh-CN"/>
        </w:rPr>
        <w:t>. This study therefore proposed PFD limits that would meet each of those two cases, plus it added a third one corresponding to a case</w:t>
      </w:r>
      <w:r w:rsidR="00F02806">
        <w:rPr>
          <w:lang w:eastAsia="zh-CN"/>
        </w:rPr>
        <w:t xml:space="preserve"> </w:t>
      </w:r>
      <w:r>
        <w:rPr>
          <w:lang w:eastAsia="zh-CN"/>
        </w:rPr>
        <w:t xml:space="preserve">at </w:t>
      </w:r>
      <w:r w:rsidR="00F02806">
        <w:rPr>
          <w:lang w:eastAsia="zh-CN"/>
        </w:rPr>
        <w:t>7.5</w:t>
      </w:r>
      <w:r w:rsidR="00F02806" w:rsidRPr="00F02806">
        <w:rPr>
          <w:lang w:eastAsia="zh-CN"/>
        </w:rPr>
        <w:t>°</w:t>
      </w:r>
      <w:r w:rsidR="00F02806">
        <w:rPr>
          <w:lang w:eastAsia="zh-CN"/>
        </w:rPr>
        <w:t xml:space="preserve"> FS maximum elevation angle</w:t>
      </w:r>
      <w:r>
        <w:rPr>
          <w:lang w:eastAsia="zh-CN"/>
        </w:rPr>
        <w:t>, which would correspond to a middle-ground in between the 5</w:t>
      </w:r>
      <w:r w:rsidR="00CF0899" w:rsidRPr="00F02806">
        <w:rPr>
          <w:lang w:eastAsia="zh-CN"/>
        </w:rPr>
        <w:t>°</w:t>
      </w:r>
      <w:r>
        <w:rPr>
          <w:lang w:eastAsia="zh-CN"/>
        </w:rPr>
        <w:t xml:space="preserve"> and 10</w:t>
      </w:r>
      <w:r w:rsidR="00CF0899" w:rsidRPr="00F02806">
        <w:rPr>
          <w:lang w:eastAsia="zh-CN"/>
        </w:rPr>
        <w:t>°</w:t>
      </w:r>
      <w:r>
        <w:rPr>
          <w:lang w:eastAsia="zh-CN"/>
        </w:rPr>
        <w:t xml:space="preserve"> </w:t>
      </w:r>
      <w:r w:rsidR="00CF0899">
        <w:rPr>
          <w:lang w:eastAsia="zh-CN"/>
        </w:rPr>
        <w:t>cases.</w:t>
      </w:r>
    </w:p>
    <w:p w14:paraId="4629283E" w14:textId="17BFCB56" w:rsidR="00D428F9" w:rsidRDefault="00F02806" w:rsidP="00D428F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tab/>
      </w:r>
    </w:p>
    <w:p w14:paraId="4A22709A" w14:textId="21CFB968" w:rsidR="00E6013D" w:rsidRDefault="00E6013D" w:rsidP="00C56932">
      <w:pPr>
        <w:pStyle w:val="Heading3"/>
        <w:rPr>
          <w:lang w:eastAsia="zh-CN"/>
        </w:rPr>
      </w:pPr>
      <w:r>
        <w:rPr>
          <w:lang w:eastAsia="zh-CN"/>
        </w:rPr>
        <w:t>Contribution from GSO satellites in aggregate analysis</w:t>
      </w:r>
    </w:p>
    <w:p w14:paraId="22A07CB2" w14:textId="77777777" w:rsidR="004D2DF8" w:rsidRDefault="004D2DF8" w:rsidP="00D428F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192AB5C2" w14:textId="676AC8D2" w:rsidR="00E6013D" w:rsidRPr="004A4A35" w:rsidRDefault="00E6013D" w:rsidP="00D428F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t xml:space="preserve">The aggregate analyses </w:t>
      </w:r>
      <w:r w:rsidR="00AD4E61">
        <w:rPr>
          <w:lang w:eastAsia="zh-CN"/>
        </w:rPr>
        <w:t>include</w:t>
      </w:r>
      <w:r w:rsidR="004D2DF8">
        <w:rPr>
          <w:lang w:eastAsia="zh-CN"/>
        </w:rPr>
        <w:t xml:space="preserve"> contribution from 18 GSO satellites </w:t>
      </w:r>
      <w:r w:rsidR="004D2DF8" w:rsidRPr="00C2234B">
        <w:t>spaced on the GSO arc every 3°</w:t>
      </w:r>
      <w:r w:rsidR="00AD4E61">
        <w:t xml:space="preserve">. </w:t>
      </w:r>
      <w:r w:rsidR="00C56932">
        <w:t>Table 3 listed the PFD used for the GSO satellites used in the aggregate analyses. It is evident from Figure 1 to Figure 12 that for the two different FS antenna patterns, the interference contribution from the GSO</w:t>
      </w:r>
      <w:r w:rsidR="00EB5C5F">
        <w:t xml:space="preserve"> satellites at test latitude is insignificant as the aggregate NGSO systems’ interference dominate the total aggregate interference. Hence, </w:t>
      </w:r>
      <w:r w:rsidR="007D5C2F">
        <w:t>in practice, it is acceptable to decouple studies on the GSO masks from those on the NGSO ones</w:t>
      </w:r>
      <w:r w:rsidR="002D0E53">
        <w:t>.</w:t>
      </w:r>
    </w:p>
    <w:p w14:paraId="23A5EA85" w14:textId="77777777" w:rsidR="00667CFD" w:rsidRPr="004A4A35" w:rsidRDefault="00667CFD" w:rsidP="00D428F9">
      <w:pPr>
        <w:rPr>
          <w:lang w:eastAsia="zh-CN"/>
        </w:rPr>
      </w:pPr>
    </w:p>
    <w:sectPr w:rsidR="00667CFD" w:rsidRPr="004A4A35" w:rsidSect="00D02712">
      <w:headerReference w:type="default" r:id="rId28"/>
      <w:footerReference w:type="default" r:id="rId29"/>
      <w:footerReference w:type="first" r:id="rId3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8202" w14:textId="77777777" w:rsidR="00D07F67" w:rsidRDefault="00D07F67">
      <w:r>
        <w:separator/>
      </w:r>
    </w:p>
  </w:endnote>
  <w:endnote w:type="continuationSeparator" w:id="0">
    <w:p w14:paraId="6A51D1E8" w14:textId="77777777" w:rsidR="00D07F67" w:rsidRDefault="00D0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16DF" w14:textId="15708B84" w:rsidR="00FA124A" w:rsidRPr="002F7CB3" w:rsidRDefault="00FA124A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03E9" w14:textId="0CFFE40A" w:rsidR="00FA124A" w:rsidRPr="002F7CB3" w:rsidRDefault="00FA124A" w:rsidP="00E6257C">
    <w:pPr>
      <w:pStyle w:val="Footer"/>
      <w:rPr>
        <w:lang w:val="en-US"/>
      </w:rPr>
    </w:pPr>
    <w:r w:rsidRPr="002F7CB3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CBB4" w14:textId="77777777" w:rsidR="00D07F67" w:rsidRDefault="00D07F67">
      <w:r>
        <w:t>____________________</w:t>
      </w:r>
    </w:p>
  </w:footnote>
  <w:footnote w:type="continuationSeparator" w:id="0">
    <w:p w14:paraId="57A418CC" w14:textId="77777777" w:rsidR="00D07F67" w:rsidRDefault="00D07F67">
      <w:r>
        <w:continuationSeparator/>
      </w:r>
    </w:p>
  </w:footnote>
  <w:footnote w:id="1">
    <w:p w14:paraId="63CFC18B" w14:textId="6B78391D" w:rsidR="00451472" w:rsidRPr="00282BF6" w:rsidRDefault="00451472" w:rsidP="00451472">
      <w:pPr>
        <w:pStyle w:val="FootnoteText"/>
        <w:rPr>
          <w:lang w:val="en-US"/>
        </w:rPr>
      </w:pPr>
      <w:r w:rsidRPr="00EB3282">
        <w:rPr>
          <w:rStyle w:val="FootnoteReference"/>
        </w:rPr>
        <w:footnoteRef/>
      </w:r>
      <w:r w:rsidRPr="00EB3282">
        <w:t xml:space="preserve"> </w:t>
      </w:r>
      <w:r w:rsidRPr="00EB3282">
        <w:rPr>
          <w:lang w:val="en-US"/>
        </w:rPr>
        <w:t xml:space="preserve">Sidelobe radiation pattern for each of the </w:t>
      </w:r>
      <w:r w:rsidRPr="00EB3282">
        <w:rPr>
          <w:lang w:eastAsia="zh-CN"/>
        </w:rPr>
        <w:t xml:space="preserve">visible 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v</m:t>
            </m:r>
          </m:sub>
        </m:sSub>
        <m:r>
          <w:rPr>
            <w:rFonts w:ascii="Cambria Math" w:hAnsi="Cambria Math"/>
            <w:lang w:eastAsia="zh-CN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w:rPr>
                <w:rFonts w:ascii="Cambria Math" w:hAnsi="Cambria Math"/>
                <w:lang w:eastAsia="zh-CN"/>
              </w:rPr>
              <m:t>co</m:t>
            </m:r>
          </m:sub>
        </m:sSub>
      </m:oMath>
      <w:r w:rsidRPr="00EB3282">
        <w:rPr>
          <w:lang w:eastAsia="zh-CN"/>
        </w:rPr>
        <w:t xml:space="preserve"> satellites</w:t>
      </w:r>
      <w:r w:rsidRPr="00EB3282">
        <w:rPr>
          <w:lang w:val="en-US"/>
        </w:rPr>
        <w:t xml:space="preserve"> of a non-GSO system have been calculated conservatively as per </w:t>
      </w:r>
      <w:r w:rsidRPr="00EB3282">
        <w:t>Recommendation ITU-R S.1528 recommends 1.2. In some other working parties</w:t>
      </w:r>
      <w:r w:rsidRPr="00282BF6">
        <w:t>’ studies</w:t>
      </w:r>
      <w:r w:rsidRPr="00EB3282">
        <w:t xml:space="preserve">, Recommendation ITU-R S.1528 recommends 1.4 has been considered for </w:t>
      </w:r>
      <w:r w:rsidRPr="00EB3282">
        <w:rPr>
          <w:lang w:val="en-US"/>
        </w:rPr>
        <w:t>sidelobe radiation pattern.</w:t>
      </w:r>
      <w:r w:rsidR="00B328B3">
        <w:rPr>
          <w:lang w:val="en-US"/>
        </w:rPr>
        <w:t xml:space="preserve"> </w:t>
      </w:r>
      <w:r w:rsidR="00B328B3" w:rsidRPr="00542DA5">
        <w:rPr>
          <w:lang w:val="en-US"/>
        </w:rPr>
        <w:t xml:space="preserve">The </w:t>
      </w:r>
      <w:r w:rsidR="00661EF1" w:rsidRPr="00542DA5">
        <w:rPr>
          <w:lang w:val="en-US"/>
        </w:rPr>
        <w:t xml:space="preserve">satellite antenna </w:t>
      </w:r>
      <w:proofErr w:type="gramStart"/>
      <w:r w:rsidR="00F4256F" w:rsidRPr="00C2234B">
        <w:rPr>
          <w:lang w:val="en-US"/>
        </w:rPr>
        <w:t>transmit</w:t>
      </w:r>
      <w:proofErr w:type="gramEnd"/>
      <w:r w:rsidR="00F4256F" w:rsidRPr="00C2234B">
        <w:rPr>
          <w:lang w:val="en-US"/>
        </w:rPr>
        <w:t xml:space="preserve"> </w:t>
      </w:r>
      <w:r w:rsidR="00B328B3" w:rsidRPr="00542DA5">
        <w:rPr>
          <w:lang w:val="en-US"/>
        </w:rPr>
        <w:t>peak gain</w:t>
      </w:r>
      <w:r w:rsidR="00F4256F" w:rsidRPr="00C2234B">
        <w:rPr>
          <w:lang w:val="en-US"/>
        </w:rPr>
        <w:t xml:space="preserve"> </w:t>
      </w:r>
      <w:proofErr w:type="gramStart"/>
      <w:r w:rsidR="00F4256F" w:rsidRPr="00C2234B">
        <w:rPr>
          <w:lang w:val="en-US"/>
        </w:rPr>
        <w:t xml:space="preserve">of </w:t>
      </w:r>
      <w:r w:rsidR="00B328B3" w:rsidRPr="00542DA5">
        <w:rPr>
          <w:lang w:val="en-US"/>
        </w:rPr>
        <w:t xml:space="preserve"> </w:t>
      </w:r>
      <w:r w:rsidR="00F4256F" w:rsidRPr="00C2234B">
        <w:rPr>
          <w:lang w:val="en-US"/>
        </w:rPr>
        <w:t>48</w:t>
      </w:r>
      <w:proofErr w:type="gramEnd"/>
      <w:r w:rsidR="00F4256F" w:rsidRPr="00C2234B">
        <w:rPr>
          <w:lang w:val="en-US"/>
        </w:rPr>
        <w:t xml:space="preserve"> </w:t>
      </w:r>
      <w:proofErr w:type="spellStart"/>
      <w:r w:rsidR="00F4256F" w:rsidRPr="00C2234B">
        <w:rPr>
          <w:lang w:val="en-US"/>
        </w:rPr>
        <w:t>dBi</w:t>
      </w:r>
      <w:proofErr w:type="spellEnd"/>
      <w:r w:rsidR="00F4256F" w:rsidRPr="00C2234B">
        <w:rPr>
          <w:lang w:val="en-US"/>
        </w:rPr>
        <w:t xml:space="preserve">, 48 </w:t>
      </w:r>
      <w:proofErr w:type="spellStart"/>
      <w:r w:rsidR="00F4256F" w:rsidRPr="00C2234B">
        <w:rPr>
          <w:lang w:val="en-US"/>
        </w:rPr>
        <w:t>dBi</w:t>
      </w:r>
      <w:proofErr w:type="spellEnd"/>
      <w:r w:rsidR="002D6D96">
        <w:rPr>
          <w:lang w:val="en-US"/>
        </w:rPr>
        <w:t xml:space="preserve">, 51.1 </w:t>
      </w:r>
      <w:proofErr w:type="spellStart"/>
      <w:r w:rsidR="002D6D96">
        <w:rPr>
          <w:lang w:val="en-US"/>
        </w:rPr>
        <w:t>dBi</w:t>
      </w:r>
      <w:proofErr w:type="spellEnd"/>
      <w:r w:rsidR="00F4256F" w:rsidRPr="00C2234B">
        <w:rPr>
          <w:lang w:val="en-US"/>
        </w:rPr>
        <w:t xml:space="preserve"> and 52 </w:t>
      </w:r>
      <w:proofErr w:type="spellStart"/>
      <w:r w:rsidR="00F4256F" w:rsidRPr="00C2234B">
        <w:rPr>
          <w:lang w:val="en-US"/>
        </w:rPr>
        <w:t>dBi</w:t>
      </w:r>
      <w:proofErr w:type="spellEnd"/>
      <w:r w:rsidR="00F4256F" w:rsidRPr="00C2234B">
        <w:rPr>
          <w:lang w:val="en-US"/>
        </w:rPr>
        <w:t xml:space="preserve"> ha</w:t>
      </w:r>
      <w:r w:rsidR="00EB4F94" w:rsidRPr="00C2234B">
        <w:rPr>
          <w:lang w:val="en-US"/>
        </w:rPr>
        <w:t>ve</w:t>
      </w:r>
      <w:r w:rsidR="00F4256F" w:rsidRPr="00C2234B">
        <w:rPr>
          <w:lang w:val="en-US"/>
        </w:rPr>
        <w:t xml:space="preserve"> been</w:t>
      </w:r>
      <w:r w:rsidR="00B328B3" w:rsidRPr="00542DA5">
        <w:rPr>
          <w:lang w:val="en-US"/>
        </w:rPr>
        <w:t xml:space="preserve"> assumed</w:t>
      </w:r>
      <w:r w:rsidR="00F4256F" w:rsidRPr="00C2234B">
        <w:rPr>
          <w:lang w:val="en-US"/>
        </w:rPr>
        <w:t xml:space="preserve"> for System B, System D</w:t>
      </w:r>
      <w:r w:rsidR="007812E0">
        <w:rPr>
          <w:lang w:val="en-US"/>
        </w:rPr>
        <w:t>, System L</w:t>
      </w:r>
      <w:r w:rsidR="00F4256F" w:rsidRPr="00C2234B">
        <w:rPr>
          <w:lang w:val="en-US"/>
        </w:rPr>
        <w:t xml:space="preserve"> and System M, respectively</w:t>
      </w:r>
      <w:r w:rsidR="005175D1" w:rsidRPr="00C2234B">
        <w:rPr>
          <w:lang w:val="en-US"/>
        </w:rPr>
        <w:t xml:space="preserve">, with </w:t>
      </w:r>
      <w:proofErr w:type="spellStart"/>
      <w:r w:rsidR="005175D1" w:rsidRPr="00C2234B">
        <w:rPr>
          <w:lang w:val="en-US"/>
        </w:rPr>
        <w:t>L_n</w:t>
      </w:r>
      <w:proofErr w:type="spellEnd"/>
      <w:r w:rsidR="005175D1" w:rsidRPr="00C2234B">
        <w:rPr>
          <w:lang w:val="en-US"/>
        </w:rPr>
        <w:t xml:space="preserve"> = -20 </w:t>
      </w:r>
      <w:proofErr w:type="spellStart"/>
      <w:r w:rsidR="005175D1" w:rsidRPr="00C2234B">
        <w:rPr>
          <w:lang w:val="en-US"/>
        </w:rPr>
        <w:t>dB</w:t>
      </w:r>
      <w:r w:rsidR="00F4256F" w:rsidRPr="00C2234B">
        <w:rPr>
          <w:lang w:val="en-US"/>
        </w:rPr>
        <w:t>.</w:t>
      </w:r>
      <w:proofErr w:type="spellEnd"/>
      <w:r w:rsidR="00B328B3" w:rsidRPr="00542DA5">
        <w:rPr>
          <w:lang w:val="en-US"/>
        </w:rPr>
        <w:t xml:space="preserve"> </w:t>
      </w:r>
    </w:p>
  </w:footnote>
  <w:footnote w:id="2">
    <w:p w14:paraId="0DC93C1E" w14:textId="1E2E61AF" w:rsidR="0045131F" w:rsidRPr="0045131F" w:rsidRDefault="0045131F">
      <w:pPr>
        <w:pStyle w:val="FootnoteText"/>
        <w:rPr>
          <w:lang w:val="en-US"/>
        </w:rPr>
      </w:pPr>
      <w:r w:rsidRPr="007812E0">
        <w:rPr>
          <w:rStyle w:val="FootnoteReference"/>
        </w:rPr>
        <w:footnoteRef/>
      </w:r>
      <w:r w:rsidRPr="007812E0">
        <w:t xml:space="preserve"> F</w:t>
      </w:r>
      <w:r w:rsidRPr="007812E0">
        <w:rPr>
          <w:lang w:val="en-US"/>
        </w:rPr>
        <w:t xml:space="preserve">or interference analysis, minimum elevation angle </w:t>
      </w:r>
      <w:r w:rsidRPr="007812E0">
        <w:t>0°</w:t>
      </w:r>
      <w:r w:rsidRPr="007812E0">
        <w:rPr>
          <w:lang w:val="en-US"/>
        </w:rPr>
        <w:t xml:space="preserve"> have been considered for the non-GSO systems.</w:t>
      </w:r>
    </w:p>
  </w:footnote>
  <w:footnote w:id="3">
    <w:p w14:paraId="603EFAF4" w14:textId="0EBFC32C" w:rsidR="00715D45" w:rsidRPr="00715D45" w:rsidRDefault="00715D4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Study #XY is not proposing GSO PFD mask specifications; the PFD listed is only for use in aggregate analysis.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3C06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A6"/>
    <w:multiLevelType w:val="hybridMultilevel"/>
    <w:tmpl w:val="36EA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A7BF1"/>
    <w:multiLevelType w:val="hybridMultilevel"/>
    <w:tmpl w:val="2A2A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76A47"/>
    <w:multiLevelType w:val="hybridMultilevel"/>
    <w:tmpl w:val="ECA62B6A"/>
    <w:lvl w:ilvl="0" w:tplc="6D668432">
      <w:numFmt w:val="bullet"/>
      <w:lvlText w:val="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E99247E"/>
    <w:multiLevelType w:val="hybridMultilevel"/>
    <w:tmpl w:val="D39A3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136D"/>
    <w:multiLevelType w:val="hybridMultilevel"/>
    <w:tmpl w:val="DA0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AD8"/>
    <w:multiLevelType w:val="hybridMultilevel"/>
    <w:tmpl w:val="A3765D62"/>
    <w:lvl w:ilvl="0" w:tplc="88F6EC7A">
      <w:start w:val="1"/>
      <w:numFmt w:val="decimal"/>
      <w:lvlText w:val="%1)"/>
      <w:lvlJc w:val="left"/>
      <w:pPr>
        <w:ind w:left="1874" w:hanging="7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D0D5EAA"/>
    <w:multiLevelType w:val="hybridMultilevel"/>
    <w:tmpl w:val="E2BE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552"/>
    <w:multiLevelType w:val="hybridMultilevel"/>
    <w:tmpl w:val="45900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9017C"/>
    <w:multiLevelType w:val="hybridMultilevel"/>
    <w:tmpl w:val="1B2E1D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F1854F6"/>
    <w:multiLevelType w:val="hybridMultilevel"/>
    <w:tmpl w:val="43E03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233F2"/>
    <w:multiLevelType w:val="hybridMultilevel"/>
    <w:tmpl w:val="11E847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4193AD5"/>
    <w:multiLevelType w:val="hybridMultilevel"/>
    <w:tmpl w:val="BB76465E"/>
    <w:lvl w:ilvl="0" w:tplc="950A4B1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10C4B"/>
    <w:multiLevelType w:val="hybridMultilevel"/>
    <w:tmpl w:val="7F3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189534">
    <w:abstractNumId w:val="5"/>
  </w:num>
  <w:num w:numId="2" w16cid:durableId="812526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495226">
    <w:abstractNumId w:val="7"/>
  </w:num>
  <w:num w:numId="4" w16cid:durableId="888491689">
    <w:abstractNumId w:val="10"/>
  </w:num>
  <w:num w:numId="5" w16cid:durableId="862599708">
    <w:abstractNumId w:val="1"/>
  </w:num>
  <w:num w:numId="6" w16cid:durableId="266739626">
    <w:abstractNumId w:val="0"/>
  </w:num>
  <w:num w:numId="7" w16cid:durableId="1508520319">
    <w:abstractNumId w:val="3"/>
  </w:num>
  <w:num w:numId="8" w16cid:durableId="1110734035">
    <w:abstractNumId w:val="4"/>
  </w:num>
  <w:num w:numId="9" w16cid:durableId="985087899">
    <w:abstractNumId w:val="8"/>
  </w:num>
  <w:num w:numId="10" w16cid:durableId="1507404370">
    <w:abstractNumId w:val="2"/>
  </w:num>
  <w:num w:numId="11" w16cid:durableId="2068255810">
    <w:abstractNumId w:val="9"/>
  </w:num>
  <w:num w:numId="12" w16cid:durableId="251164130">
    <w:abstractNumId w:val="6"/>
  </w:num>
  <w:num w:numId="13" w16cid:durableId="1193419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67"/>
    <w:rsid w:val="000069D4"/>
    <w:rsid w:val="0001375D"/>
    <w:rsid w:val="000174AD"/>
    <w:rsid w:val="0003289C"/>
    <w:rsid w:val="000375E5"/>
    <w:rsid w:val="000418F1"/>
    <w:rsid w:val="000442C8"/>
    <w:rsid w:val="00047A1D"/>
    <w:rsid w:val="00054C3A"/>
    <w:rsid w:val="000604B9"/>
    <w:rsid w:val="00060C86"/>
    <w:rsid w:val="000651ED"/>
    <w:rsid w:val="00070620"/>
    <w:rsid w:val="00076185"/>
    <w:rsid w:val="00076DD3"/>
    <w:rsid w:val="00076F92"/>
    <w:rsid w:val="00085B4D"/>
    <w:rsid w:val="000A4640"/>
    <w:rsid w:val="000A670C"/>
    <w:rsid w:val="000A7D55"/>
    <w:rsid w:val="000B0424"/>
    <w:rsid w:val="000B212F"/>
    <w:rsid w:val="000B5045"/>
    <w:rsid w:val="000C0398"/>
    <w:rsid w:val="000C12C8"/>
    <w:rsid w:val="000C2963"/>
    <w:rsid w:val="000C2E8E"/>
    <w:rsid w:val="000C4173"/>
    <w:rsid w:val="000C7F7C"/>
    <w:rsid w:val="000E0E7C"/>
    <w:rsid w:val="000E11BF"/>
    <w:rsid w:val="000E7FA5"/>
    <w:rsid w:val="000F1B4B"/>
    <w:rsid w:val="000F7A25"/>
    <w:rsid w:val="001025F1"/>
    <w:rsid w:val="001037FD"/>
    <w:rsid w:val="00112C88"/>
    <w:rsid w:val="0012050C"/>
    <w:rsid w:val="0012215E"/>
    <w:rsid w:val="001269EC"/>
    <w:rsid w:val="0012744F"/>
    <w:rsid w:val="00131178"/>
    <w:rsid w:val="00131386"/>
    <w:rsid w:val="0013300A"/>
    <w:rsid w:val="0013636C"/>
    <w:rsid w:val="00141A80"/>
    <w:rsid w:val="00146A9E"/>
    <w:rsid w:val="001502E5"/>
    <w:rsid w:val="00152556"/>
    <w:rsid w:val="001530CF"/>
    <w:rsid w:val="00156F66"/>
    <w:rsid w:val="00157736"/>
    <w:rsid w:val="00157F78"/>
    <w:rsid w:val="001624F0"/>
    <w:rsid w:val="00163271"/>
    <w:rsid w:val="001639B2"/>
    <w:rsid w:val="00172122"/>
    <w:rsid w:val="00172CF8"/>
    <w:rsid w:val="00172F38"/>
    <w:rsid w:val="00176120"/>
    <w:rsid w:val="00177523"/>
    <w:rsid w:val="00182528"/>
    <w:rsid w:val="00183AE3"/>
    <w:rsid w:val="0018500B"/>
    <w:rsid w:val="0018522B"/>
    <w:rsid w:val="0019342A"/>
    <w:rsid w:val="00194686"/>
    <w:rsid w:val="00196215"/>
    <w:rsid w:val="00196A19"/>
    <w:rsid w:val="001A11F4"/>
    <w:rsid w:val="001A29CE"/>
    <w:rsid w:val="001A50D7"/>
    <w:rsid w:val="001A597A"/>
    <w:rsid w:val="001A62FB"/>
    <w:rsid w:val="001B405D"/>
    <w:rsid w:val="001C0C23"/>
    <w:rsid w:val="001C777B"/>
    <w:rsid w:val="001D2635"/>
    <w:rsid w:val="001D4250"/>
    <w:rsid w:val="001D5D23"/>
    <w:rsid w:val="001D6BCA"/>
    <w:rsid w:val="001E32AE"/>
    <w:rsid w:val="001E6E59"/>
    <w:rsid w:val="001E70F2"/>
    <w:rsid w:val="001F2147"/>
    <w:rsid w:val="001F513A"/>
    <w:rsid w:val="001F5752"/>
    <w:rsid w:val="00202DC1"/>
    <w:rsid w:val="00203F38"/>
    <w:rsid w:val="002116EE"/>
    <w:rsid w:val="00212651"/>
    <w:rsid w:val="00212EBB"/>
    <w:rsid w:val="00215CB8"/>
    <w:rsid w:val="002207FA"/>
    <w:rsid w:val="00220983"/>
    <w:rsid w:val="00223B97"/>
    <w:rsid w:val="0022422D"/>
    <w:rsid w:val="002279F5"/>
    <w:rsid w:val="002309D8"/>
    <w:rsid w:val="00236623"/>
    <w:rsid w:val="00242DB8"/>
    <w:rsid w:val="00245102"/>
    <w:rsid w:val="00247DF9"/>
    <w:rsid w:val="00255774"/>
    <w:rsid w:val="00256E2B"/>
    <w:rsid w:val="00257324"/>
    <w:rsid w:val="002738C5"/>
    <w:rsid w:val="002815AB"/>
    <w:rsid w:val="00282158"/>
    <w:rsid w:val="00283EBD"/>
    <w:rsid w:val="00285EB2"/>
    <w:rsid w:val="00293571"/>
    <w:rsid w:val="002A226D"/>
    <w:rsid w:val="002A7FE2"/>
    <w:rsid w:val="002B2C4D"/>
    <w:rsid w:val="002B3C16"/>
    <w:rsid w:val="002B6525"/>
    <w:rsid w:val="002C708D"/>
    <w:rsid w:val="002D0E53"/>
    <w:rsid w:val="002D3850"/>
    <w:rsid w:val="002D6D96"/>
    <w:rsid w:val="002D7B92"/>
    <w:rsid w:val="002E1B4F"/>
    <w:rsid w:val="002F1B66"/>
    <w:rsid w:val="002F2E67"/>
    <w:rsid w:val="002F3DDF"/>
    <w:rsid w:val="002F66BB"/>
    <w:rsid w:val="002F7CB3"/>
    <w:rsid w:val="00300CA2"/>
    <w:rsid w:val="00303944"/>
    <w:rsid w:val="003049E9"/>
    <w:rsid w:val="00305A90"/>
    <w:rsid w:val="00306360"/>
    <w:rsid w:val="00307314"/>
    <w:rsid w:val="00315546"/>
    <w:rsid w:val="00323A90"/>
    <w:rsid w:val="00323E60"/>
    <w:rsid w:val="00326A1E"/>
    <w:rsid w:val="00330567"/>
    <w:rsid w:val="00331F09"/>
    <w:rsid w:val="00333C88"/>
    <w:rsid w:val="00335D9F"/>
    <w:rsid w:val="00336921"/>
    <w:rsid w:val="00336E70"/>
    <w:rsid w:val="00343237"/>
    <w:rsid w:val="00346995"/>
    <w:rsid w:val="00347F15"/>
    <w:rsid w:val="00355541"/>
    <w:rsid w:val="003609F0"/>
    <w:rsid w:val="00367504"/>
    <w:rsid w:val="00370249"/>
    <w:rsid w:val="003729CC"/>
    <w:rsid w:val="00374F5E"/>
    <w:rsid w:val="003766D3"/>
    <w:rsid w:val="003800CA"/>
    <w:rsid w:val="003822A8"/>
    <w:rsid w:val="00382924"/>
    <w:rsid w:val="00386A9D"/>
    <w:rsid w:val="00387FD8"/>
    <w:rsid w:val="00391081"/>
    <w:rsid w:val="0039587E"/>
    <w:rsid w:val="003A46BE"/>
    <w:rsid w:val="003A6687"/>
    <w:rsid w:val="003B2789"/>
    <w:rsid w:val="003B3089"/>
    <w:rsid w:val="003C0673"/>
    <w:rsid w:val="003C1274"/>
    <w:rsid w:val="003C13CE"/>
    <w:rsid w:val="003C697E"/>
    <w:rsid w:val="003C747A"/>
    <w:rsid w:val="003D0B41"/>
    <w:rsid w:val="003D64E4"/>
    <w:rsid w:val="003D7C86"/>
    <w:rsid w:val="003E2518"/>
    <w:rsid w:val="003E7CEF"/>
    <w:rsid w:val="003F0E1A"/>
    <w:rsid w:val="004007F8"/>
    <w:rsid w:val="00403076"/>
    <w:rsid w:val="0040405D"/>
    <w:rsid w:val="004062E9"/>
    <w:rsid w:val="00414E58"/>
    <w:rsid w:val="004150E6"/>
    <w:rsid w:val="004201FD"/>
    <w:rsid w:val="00421867"/>
    <w:rsid w:val="004238D1"/>
    <w:rsid w:val="0042701C"/>
    <w:rsid w:val="00433533"/>
    <w:rsid w:val="0045131F"/>
    <w:rsid w:val="00451472"/>
    <w:rsid w:val="00461F3C"/>
    <w:rsid w:val="00464644"/>
    <w:rsid w:val="00465020"/>
    <w:rsid w:val="00476E60"/>
    <w:rsid w:val="004831BD"/>
    <w:rsid w:val="00483A6D"/>
    <w:rsid w:val="00483C49"/>
    <w:rsid w:val="00487DC5"/>
    <w:rsid w:val="00492825"/>
    <w:rsid w:val="00493F7A"/>
    <w:rsid w:val="004944C4"/>
    <w:rsid w:val="004A2300"/>
    <w:rsid w:val="004A4A35"/>
    <w:rsid w:val="004B1EF7"/>
    <w:rsid w:val="004B3FAD"/>
    <w:rsid w:val="004B4679"/>
    <w:rsid w:val="004C30E3"/>
    <w:rsid w:val="004C5749"/>
    <w:rsid w:val="004C7508"/>
    <w:rsid w:val="004D2DF8"/>
    <w:rsid w:val="004D7D14"/>
    <w:rsid w:val="004E7C12"/>
    <w:rsid w:val="004E7CAA"/>
    <w:rsid w:val="004F2477"/>
    <w:rsid w:val="004F46AE"/>
    <w:rsid w:val="004F50B9"/>
    <w:rsid w:val="004F780C"/>
    <w:rsid w:val="005003D3"/>
    <w:rsid w:val="00501DCA"/>
    <w:rsid w:val="005038AE"/>
    <w:rsid w:val="00505BF0"/>
    <w:rsid w:val="00512A74"/>
    <w:rsid w:val="00513A47"/>
    <w:rsid w:val="005175D1"/>
    <w:rsid w:val="00522367"/>
    <w:rsid w:val="00522B69"/>
    <w:rsid w:val="005276F6"/>
    <w:rsid w:val="005315B3"/>
    <w:rsid w:val="005355FA"/>
    <w:rsid w:val="00535893"/>
    <w:rsid w:val="005408DF"/>
    <w:rsid w:val="00542DA5"/>
    <w:rsid w:val="00546827"/>
    <w:rsid w:val="00546D87"/>
    <w:rsid w:val="00550120"/>
    <w:rsid w:val="00552DFC"/>
    <w:rsid w:val="00555275"/>
    <w:rsid w:val="00557CEB"/>
    <w:rsid w:val="005604F1"/>
    <w:rsid w:val="0056467E"/>
    <w:rsid w:val="00573344"/>
    <w:rsid w:val="005749D7"/>
    <w:rsid w:val="00576DFF"/>
    <w:rsid w:val="00582916"/>
    <w:rsid w:val="00583F9B"/>
    <w:rsid w:val="00590CBA"/>
    <w:rsid w:val="00591464"/>
    <w:rsid w:val="0059249F"/>
    <w:rsid w:val="005A0EAC"/>
    <w:rsid w:val="005A3E4C"/>
    <w:rsid w:val="005A47B0"/>
    <w:rsid w:val="005B0743"/>
    <w:rsid w:val="005B0D29"/>
    <w:rsid w:val="005B2EA4"/>
    <w:rsid w:val="005D19F8"/>
    <w:rsid w:val="005D2A27"/>
    <w:rsid w:val="005D5527"/>
    <w:rsid w:val="005E0B73"/>
    <w:rsid w:val="005E4B82"/>
    <w:rsid w:val="005E5BD7"/>
    <w:rsid w:val="005E5C10"/>
    <w:rsid w:val="005F2C78"/>
    <w:rsid w:val="005F4F00"/>
    <w:rsid w:val="00602406"/>
    <w:rsid w:val="00607413"/>
    <w:rsid w:val="00612559"/>
    <w:rsid w:val="006144E4"/>
    <w:rsid w:val="00622897"/>
    <w:rsid w:val="0063330B"/>
    <w:rsid w:val="006351B8"/>
    <w:rsid w:val="006413A4"/>
    <w:rsid w:val="00643472"/>
    <w:rsid w:val="00646E9C"/>
    <w:rsid w:val="00646EE2"/>
    <w:rsid w:val="00650299"/>
    <w:rsid w:val="00651EAC"/>
    <w:rsid w:val="00654113"/>
    <w:rsid w:val="00655FC5"/>
    <w:rsid w:val="0065633C"/>
    <w:rsid w:val="0066157C"/>
    <w:rsid w:val="00661EF1"/>
    <w:rsid w:val="00667CFD"/>
    <w:rsid w:val="00670EFF"/>
    <w:rsid w:val="006766B7"/>
    <w:rsid w:val="00685020"/>
    <w:rsid w:val="0068589E"/>
    <w:rsid w:val="00685FB6"/>
    <w:rsid w:val="006907FE"/>
    <w:rsid w:val="006940BD"/>
    <w:rsid w:val="006A4C25"/>
    <w:rsid w:val="006B0E74"/>
    <w:rsid w:val="006B3CF3"/>
    <w:rsid w:val="006B500C"/>
    <w:rsid w:val="006C0DE5"/>
    <w:rsid w:val="006C36AC"/>
    <w:rsid w:val="006C5A2C"/>
    <w:rsid w:val="006D5626"/>
    <w:rsid w:val="006D5D9C"/>
    <w:rsid w:val="006E0CFD"/>
    <w:rsid w:val="006E27D7"/>
    <w:rsid w:val="006E604A"/>
    <w:rsid w:val="006F1F99"/>
    <w:rsid w:val="006F5152"/>
    <w:rsid w:val="006F599F"/>
    <w:rsid w:val="00707419"/>
    <w:rsid w:val="00707850"/>
    <w:rsid w:val="00710055"/>
    <w:rsid w:val="00710F3B"/>
    <w:rsid w:val="00711E37"/>
    <w:rsid w:val="00715D45"/>
    <w:rsid w:val="00716605"/>
    <w:rsid w:val="00721A15"/>
    <w:rsid w:val="00725D87"/>
    <w:rsid w:val="00733F27"/>
    <w:rsid w:val="007368A0"/>
    <w:rsid w:val="00737855"/>
    <w:rsid w:val="00742124"/>
    <w:rsid w:val="007472A6"/>
    <w:rsid w:val="00752641"/>
    <w:rsid w:val="00754008"/>
    <w:rsid w:val="007617CE"/>
    <w:rsid w:val="007660B0"/>
    <w:rsid w:val="00775966"/>
    <w:rsid w:val="007812E0"/>
    <w:rsid w:val="007815B2"/>
    <w:rsid w:val="0078166F"/>
    <w:rsid w:val="00781A90"/>
    <w:rsid w:val="00792015"/>
    <w:rsid w:val="00792CF5"/>
    <w:rsid w:val="00794491"/>
    <w:rsid w:val="00797167"/>
    <w:rsid w:val="007A6E7A"/>
    <w:rsid w:val="007B6B0F"/>
    <w:rsid w:val="007C0F9E"/>
    <w:rsid w:val="007C2A9E"/>
    <w:rsid w:val="007C316F"/>
    <w:rsid w:val="007C4B45"/>
    <w:rsid w:val="007D3205"/>
    <w:rsid w:val="007D346D"/>
    <w:rsid w:val="007D5C2F"/>
    <w:rsid w:val="007D6243"/>
    <w:rsid w:val="007D6824"/>
    <w:rsid w:val="007E19B7"/>
    <w:rsid w:val="007F32B3"/>
    <w:rsid w:val="007F3D61"/>
    <w:rsid w:val="007F4E4A"/>
    <w:rsid w:val="0080186B"/>
    <w:rsid w:val="00804B10"/>
    <w:rsid w:val="00805236"/>
    <w:rsid w:val="0080538C"/>
    <w:rsid w:val="0080659A"/>
    <w:rsid w:val="00807132"/>
    <w:rsid w:val="00807E4E"/>
    <w:rsid w:val="0081091D"/>
    <w:rsid w:val="00814E0A"/>
    <w:rsid w:val="00817FEB"/>
    <w:rsid w:val="00822581"/>
    <w:rsid w:val="00823E1C"/>
    <w:rsid w:val="008267E2"/>
    <w:rsid w:val="00826B68"/>
    <w:rsid w:val="008271D7"/>
    <w:rsid w:val="0082773C"/>
    <w:rsid w:val="008309DD"/>
    <w:rsid w:val="00831B9C"/>
    <w:rsid w:val="0083227A"/>
    <w:rsid w:val="008355A8"/>
    <w:rsid w:val="00837BE3"/>
    <w:rsid w:val="00847CF1"/>
    <w:rsid w:val="0085103E"/>
    <w:rsid w:val="00854BD6"/>
    <w:rsid w:val="0085611D"/>
    <w:rsid w:val="008566C5"/>
    <w:rsid w:val="008661C7"/>
    <w:rsid w:val="00866900"/>
    <w:rsid w:val="00873B7E"/>
    <w:rsid w:val="00876A8A"/>
    <w:rsid w:val="0087716A"/>
    <w:rsid w:val="0088027D"/>
    <w:rsid w:val="00881BA1"/>
    <w:rsid w:val="0088574A"/>
    <w:rsid w:val="00887971"/>
    <w:rsid w:val="00890578"/>
    <w:rsid w:val="00890BD9"/>
    <w:rsid w:val="0089399B"/>
    <w:rsid w:val="00894143"/>
    <w:rsid w:val="0089659F"/>
    <w:rsid w:val="008A7C63"/>
    <w:rsid w:val="008B0BB8"/>
    <w:rsid w:val="008B0FF6"/>
    <w:rsid w:val="008B100E"/>
    <w:rsid w:val="008B29B9"/>
    <w:rsid w:val="008C2302"/>
    <w:rsid w:val="008C26B8"/>
    <w:rsid w:val="008C3050"/>
    <w:rsid w:val="008C75F6"/>
    <w:rsid w:val="008D0222"/>
    <w:rsid w:val="008D2D87"/>
    <w:rsid w:val="008D2EB7"/>
    <w:rsid w:val="008D78B6"/>
    <w:rsid w:val="008E1607"/>
    <w:rsid w:val="008E33B5"/>
    <w:rsid w:val="008F1998"/>
    <w:rsid w:val="008F208F"/>
    <w:rsid w:val="009006B3"/>
    <w:rsid w:val="00903F2F"/>
    <w:rsid w:val="00911218"/>
    <w:rsid w:val="0091290A"/>
    <w:rsid w:val="00914059"/>
    <w:rsid w:val="009140E7"/>
    <w:rsid w:val="00921D9A"/>
    <w:rsid w:val="009228D1"/>
    <w:rsid w:val="00923E76"/>
    <w:rsid w:val="00935275"/>
    <w:rsid w:val="009363ED"/>
    <w:rsid w:val="00936E65"/>
    <w:rsid w:val="00954D4C"/>
    <w:rsid w:val="00955CC7"/>
    <w:rsid w:val="009629AF"/>
    <w:rsid w:val="00971840"/>
    <w:rsid w:val="009803FB"/>
    <w:rsid w:val="00982084"/>
    <w:rsid w:val="00982DA1"/>
    <w:rsid w:val="00983211"/>
    <w:rsid w:val="0098757B"/>
    <w:rsid w:val="009876FE"/>
    <w:rsid w:val="00994962"/>
    <w:rsid w:val="0099501D"/>
    <w:rsid w:val="00995963"/>
    <w:rsid w:val="00996CEB"/>
    <w:rsid w:val="009B15C3"/>
    <w:rsid w:val="009B61EB"/>
    <w:rsid w:val="009B6D5D"/>
    <w:rsid w:val="009C185B"/>
    <w:rsid w:val="009C2064"/>
    <w:rsid w:val="009C55AF"/>
    <w:rsid w:val="009D09BB"/>
    <w:rsid w:val="009D14CD"/>
    <w:rsid w:val="009D1697"/>
    <w:rsid w:val="009D1853"/>
    <w:rsid w:val="009D25AF"/>
    <w:rsid w:val="009E07AC"/>
    <w:rsid w:val="009E0A1C"/>
    <w:rsid w:val="009E0B9A"/>
    <w:rsid w:val="009E1639"/>
    <w:rsid w:val="009E4F90"/>
    <w:rsid w:val="009E5655"/>
    <w:rsid w:val="009E61A6"/>
    <w:rsid w:val="009F0C5E"/>
    <w:rsid w:val="009F1DC9"/>
    <w:rsid w:val="009F3118"/>
    <w:rsid w:val="009F3A46"/>
    <w:rsid w:val="009F6520"/>
    <w:rsid w:val="00A014F8"/>
    <w:rsid w:val="00A1096A"/>
    <w:rsid w:val="00A14D7B"/>
    <w:rsid w:val="00A347E6"/>
    <w:rsid w:val="00A42F0B"/>
    <w:rsid w:val="00A463DE"/>
    <w:rsid w:val="00A5173C"/>
    <w:rsid w:val="00A61598"/>
    <w:rsid w:val="00A61AEF"/>
    <w:rsid w:val="00A61FEC"/>
    <w:rsid w:val="00A62955"/>
    <w:rsid w:val="00A71DE1"/>
    <w:rsid w:val="00A72817"/>
    <w:rsid w:val="00A8391D"/>
    <w:rsid w:val="00A84A87"/>
    <w:rsid w:val="00A861F5"/>
    <w:rsid w:val="00A93F4B"/>
    <w:rsid w:val="00A9486E"/>
    <w:rsid w:val="00A955A5"/>
    <w:rsid w:val="00AA453D"/>
    <w:rsid w:val="00AB13B6"/>
    <w:rsid w:val="00AB302C"/>
    <w:rsid w:val="00AB30C7"/>
    <w:rsid w:val="00AB45DB"/>
    <w:rsid w:val="00AC013C"/>
    <w:rsid w:val="00AD2345"/>
    <w:rsid w:val="00AD4E61"/>
    <w:rsid w:val="00AD4F96"/>
    <w:rsid w:val="00AF173A"/>
    <w:rsid w:val="00AF781E"/>
    <w:rsid w:val="00B066A4"/>
    <w:rsid w:val="00B07A13"/>
    <w:rsid w:val="00B2048F"/>
    <w:rsid w:val="00B2607F"/>
    <w:rsid w:val="00B30293"/>
    <w:rsid w:val="00B30734"/>
    <w:rsid w:val="00B328B3"/>
    <w:rsid w:val="00B34959"/>
    <w:rsid w:val="00B35BBB"/>
    <w:rsid w:val="00B36B28"/>
    <w:rsid w:val="00B4279B"/>
    <w:rsid w:val="00B43EA1"/>
    <w:rsid w:val="00B45FC9"/>
    <w:rsid w:val="00B47B58"/>
    <w:rsid w:val="00B61876"/>
    <w:rsid w:val="00B629ED"/>
    <w:rsid w:val="00B65457"/>
    <w:rsid w:val="00B70841"/>
    <w:rsid w:val="00B70E31"/>
    <w:rsid w:val="00B71CAA"/>
    <w:rsid w:val="00B73E57"/>
    <w:rsid w:val="00B76F35"/>
    <w:rsid w:val="00B81138"/>
    <w:rsid w:val="00B81515"/>
    <w:rsid w:val="00B9033E"/>
    <w:rsid w:val="00B94170"/>
    <w:rsid w:val="00B9503D"/>
    <w:rsid w:val="00BA2A6A"/>
    <w:rsid w:val="00BA5A7A"/>
    <w:rsid w:val="00BB26D2"/>
    <w:rsid w:val="00BB2983"/>
    <w:rsid w:val="00BB4405"/>
    <w:rsid w:val="00BB4EE9"/>
    <w:rsid w:val="00BC1672"/>
    <w:rsid w:val="00BC4046"/>
    <w:rsid w:val="00BC4F15"/>
    <w:rsid w:val="00BC5910"/>
    <w:rsid w:val="00BC7CCF"/>
    <w:rsid w:val="00BE23F0"/>
    <w:rsid w:val="00BE470B"/>
    <w:rsid w:val="00BE792A"/>
    <w:rsid w:val="00BF4609"/>
    <w:rsid w:val="00C07A95"/>
    <w:rsid w:val="00C1362E"/>
    <w:rsid w:val="00C16542"/>
    <w:rsid w:val="00C20D4E"/>
    <w:rsid w:val="00C2234B"/>
    <w:rsid w:val="00C23AC7"/>
    <w:rsid w:val="00C25100"/>
    <w:rsid w:val="00C41549"/>
    <w:rsid w:val="00C4167E"/>
    <w:rsid w:val="00C45415"/>
    <w:rsid w:val="00C51DC8"/>
    <w:rsid w:val="00C56932"/>
    <w:rsid w:val="00C57A91"/>
    <w:rsid w:val="00C61F12"/>
    <w:rsid w:val="00C627EF"/>
    <w:rsid w:val="00C6588D"/>
    <w:rsid w:val="00C70D1B"/>
    <w:rsid w:val="00C7119E"/>
    <w:rsid w:val="00C74C7A"/>
    <w:rsid w:val="00C75110"/>
    <w:rsid w:val="00C81A5D"/>
    <w:rsid w:val="00C81BBB"/>
    <w:rsid w:val="00C90AC7"/>
    <w:rsid w:val="00CA2AC0"/>
    <w:rsid w:val="00CA337D"/>
    <w:rsid w:val="00CB0D6B"/>
    <w:rsid w:val="00CB1D86"/>
    <w:rsid w:val="00CC01C2"/>
    <w:rsid w:val="00CD0F00"/>
    <w:rsid w:val="00CD1F75"/>
    <w:rsid w:val="00CE67F7"/>
    <w:rsid w:val="00CF0899"/>
    <w:rsid w:val="00CF21F2"/>
    <w:rsid w:val="00CF4EFA"/>
    <w:rsid w:val="00CF5FA2"/>
    <w:rsid w:val="00D00D1E"/>
    <w:rsid w:val="00D02712"/>
    <w:rsid w:val="00D046A7"/>
    <w:rsid w:val="00D07F67"/>
    <w:rsid w:val="00D14566"/>
    <w:rsid w:val="00D14678"/>
    <w:rsid w:val="00D16172"/>
    <w:rsid w:val="00D1687E"/>
    <w:rsid w:val="00D214D0"/>
    <w:rsid w:val="00D26DA0"/>
    <w:rsid w:val="00D33A18"/>
    <w:rsid w:val="00D345DB"/>
    <w:rsid w:val="00D37591"/>
    <w:rsid w:val="00D428F9"/>
    <w:rsid w:val="00D44E35"/>
    <w:rsid w:val="00D450EF"/>
    <w:rsid w:val="00D47C99"/>
    <w:rsid w:val="00D56EFB"/>
    <w:rsid w:val="00D6546B"/>
    <w:rsid w:val="00D703BE"/>
    <w:rsid w:val="00D72A12"/>
    <w:rsid w:val="00D81505"/>
    <w:rsid w:val="00D82353"/>
    <w:rsid w:val="00D83DAB"/>
    <w:rsid w:val="00D83EB3"/>
    <w:rsid w:val="00D86A67"/>
    <w:rsid w:val="00D90931"/>
    <w:rsid w:val="00D915F1"/>
    <w:rsid w:val="00DA1D4C"/>
    <w:rsid w:val="00DB178B"/>
    <w:rsid w:val="00DB2582"/>
    <w:rsid w:val="00DB6F19"/>
    <w:rsid w:val="00DC05E3"/>
    <w:rsid w:val="00DC17D3"/>
    <w:rsid w:val="00DC33E1"/>
    <w:rsid w:val="00DC3FAA"/>
    <w:rsid w:val="00DC76E0"/>
    <w:rsid w:val="00DD4045"/>
    <w:rsid w:val="00DD4BED"/>
    <w:rsid w:val="00DD528A"/>
    <w:rsid w:val="00DE2691"/>
    <w:rsid w:val="00DE39F0"/>
    <w:rsid w:val="00DE5E45"/>
    <w:rsid w:val="00DF0855"/>
    <w:rsid w:val="00DF0AF3"/>
    <w:rsid w:val="00DF3732"/>
    <w:rsid w:val="00DF7E9F"/>
    <w:rsid w:val="00E0341C"/>
    <w:rsid w:val="00E1152C"/>
    <w:rsid w:val="00E13445"/>
    <w:rsid w:val="00E154A5"/>
    <w:rsid w:val="00E26C33"/>
    <w:rsid w:val="00E27D7E"/>
    <w:rsid w:val="00E309D0"/>
    <w:rsid w:val="00E3103C"/>
    <w:rsid w:val="00E372AE"/>
    <w:rsid w:val="00E42241"/>
    <w:rsid w:val="00E42E13"/>
    <w:rsid w:val="00E4557F"/>
    <w:rsid w:val="00E524B2"/>
    <w:rsid w:val="00E56D5C"/>
    <w:rsid w:val="00E6013D"/>
    <w:rsid w:val="00E6257C"/>
    <w:rsid w:val="00E6300A"/>
    <w:rsid w:val="00E63C59"/>
    <w:rsid w:val="00E65F70"/>
    <w:rsid w:val="00E71D7E"/>
    <w:rsid w:val="00E8413D"/>
    <w:rsid w:val="00EA28A7"/>
    <w:rsid w:val="00EB3282"/>
    <w:rsid w:val="00EB4F94"/>
    <w:rsid w:val="00EB5C5F"/>
    <w:rsid w:val="00EB7353"/>
    <w:rsid w:val="00EB7747"/>
    <w:rsid w:val="00EC0415"/>
    <w:rsid w:val="00EC1F8B"/>
    <w:rsid w:val="00EC2F64"/>
    <w:rsid w:val="00EC355C"/>
    <w:rsid w:val="00EC5417"/>
    <w:rsid w:val="00ED0FB1"/>
    <w:rsid w:val="00ED1817"/>
    <w:rsid w:val="00ED29BE"/>
    <w:rsid w:val="00ED312F"/>
    <w:rsid w:val="00ED33C2"/>
    <w:rsid w:val="00ED60AA"/>
    <w:rsid w:val="00EE2A8D"/>
    <w:rsid w:val="00EE397A"/>
    <w:rsid w:val="00EE4652"/>
    <w:rsid w:val="00EF2728"/>
    <w:rsid w:val="00EF51EF"/>
    <w:rsid w:val="00EF6156"/>
    <w:rsid w:val="00F01A74"/>
    <w:rsid w:val="00F02806"/>
    <w:rsid w:val="00F04420"/>
    <w:rsid w:val="00F10182"/>
    <w:rsid w:val="00F130B3"/>
    <w:rsid w:val="00F14FB7"/>
    <w:rsid w:val="00F21829"/>
    <w:rsid w:val="00F251A3"/>
    <w:rsid w:val="00F25662"/>
    <w:rsid w:val="00F25F6E"/>
    <w:rsid w:val="00F31FB2"/>
    <w:rsid w:val="00F4256F"/>
    <w:rsid w:val="00F52E6C"/>
    <w:rsid w:val="00F6708A"/>
    <w:rsid w:val="00F704E7"/>
    <w:rsid w:val="00F748CD"/>
    <w:rsid w:val="00F83F65"/>
    <w:rsid w:val="00FA07E6"/>
    <w:rsid w:val="00FA124A"/>
    <w:rsid w:val="00FA315B"/>
    <w:rsid w:val="00FB2BC7"/>
    <w:rsid w:val="00FB6C79"/>
    <w:rsid w:val="00FB72AE"/>
    <w:rsid w:val="00FC08DD"/>
    <w:rsid w:val="00FC2130"/>
    <w:rsid w:val="00FC2316"/>
    <w:rsid w:val="00FC2CFD"/>
    <w:rsid w:val="00FC2D58"/>
    <w:rsid w:val="00FD0AE2"/>
    <w:rsid w:val="00FD0B2D"/>
    <w:rsid w:val="00FD6371"/>
    <w:rsid w:val="00FE1B48"/>
    <w:rsid w:val="00FE1BC5"/>
    <w:rsid w:val="00FE229C"/>
    <w:rsid w:val="00FF07E0"/>
    <w:rsid w:val="00FF0B12"/>
    <w:rsid w:val="00FF268C"/>
    <w:rsid w:val="00FF3A35"/>
    <w:rsid w:val="00FF43C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90489"/>
  <w15:docId w15:val="{F2BBFB41-BC4E-49D8-ACDE-45B0A69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link w:val="EquationChar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ECC Footnote number"/>
    <w:basedOn w:val="DefaultParagraphFont"/>
    <w:qFormat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uiPriority w:val="99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Char"/>
    <w:qFormat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86A6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86A67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qFormat/>
    <w:rsid w:val="00D86A67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uationChar">
    <w:name w:val="Equation Char"/>
    <w:link w:val="Equation"/>
    <w:locked/>
    <w:rsid w:val="00D86A67"/>
    <w:rPr>
      <w:rFonts w:ascii="Times New Roman" w:hAnsi="Times New Roman"/>
      <w:sz w:val="24"/>
      <w:lang w:val="en-GB" w:eastAsia="en-US"/>
    </w:rPr>
  </w:style>
  <w:style w:type="table" w:styleId="GridTable1Light">
    <w:name w:val="Grid Table 1 Light"/>
    <w:basedOn w:val="TableNormal"/>
    <w:uiPriority w:val="46"/>
    <w:rsid w:val="00D86A67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86A67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aliases w:val="超级链接,CEO_Hyperlink,ECC Hyperlink,超?级链,Style 58,超????,하이퍼링크2,超链接1,超?级链?,Style?,S"/>
    <w:basedOn w:val="DefaultParagraphFont"/>
    <w:uiPriority w:val="99"/>
    <w:unhideWhenUsed/>
    <w:qFormat/>
    <w:rsid w:val="00285E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E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1464"/>
    <w:rPr>
      <w:rFonts w:ascii="Times New Roman" w:hAnsi="Times New Roman"/>
      <w:sz w:val="24"/>
      <w:lang w:val="en-GB" w:eastAsia="en-US"/>
    </w:rPr>
  </w:style>
  <w:style w:type="paragraph" w:customStyle="1" w:styleId="TabletitleBR">
    <w:name w:val="Table_title_BR"/>
    <w:basedOn w:val="Normal"/>
    <w:next w:val="Normal"/>
    <w:uiPriority w:val="99"/>
    <w:qFormat/>
    <w:rsid w:val="0059146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  <w:style w:type="character" w:styleId="FollowedHyperlink">
    <w:name w:val="FollowedHyperlink"/>
    <w:basedOn w:val="DefaultParagraphFont"/>
    <w:semiHidden/>
    <w:unhideWhenUsed/>
    <w:rsid w:val="00D56EFB"/>
    <w:rPr>
      <w:color w:val="800080" w:themeColor="followedHyperlink"/>
      <w:u w:val="single"/>
    </w:rPr>
  </w:style>
  <w:style w:type="character" w:customStyle="1" w:styleId="TabletextChar">
    <w:name w:val="Table_text Char"/>
    <w:link w:val="Tabletext"/>
    <w:qFormat/>
    <w:rsid w:val="002D7B92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qFormat/>
    <w:rsid w:val="002D7B92"/>
    <w:rPr>
      <w:rFonts w:ascii="Times New Roman Bold" w:hAnsi="Times New Roman Bold" w:cs="Times New Roman Bold"/>
      <w:b/>
      <w:lang w:val="en-GB" w:eastAsia="en-US"/>
    </w:rPr>
  </w:style>
  <w:style w:type="character" w:customStyle="1" w:styleId="TableNoChar">
    <w:name w:val="Table_No Char"/>
    <w:link w:val="TableNo"/>
    <w:rsid w:val="002D7B92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rsid w:val="002D7B92"/>
    <w:rPr>
      <w:rFonts w:ascii="Times New Roman Bold" w:hAnsi="Times New Roman Bold"/>
      <w:b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locked/>
    <w:rsid w:val="002D7B92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73E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3E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3E57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E57"/>
    <w:rPr>
      <w:rFonts w:ascii="Times New Roman" w:hAnsi="Times New Roman"/>
      <w:b/>
      <w:bCs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6A4C25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6A4C2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der.Damavandi@spacex.com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mailto:Joseph.McMichael@spacex.com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.islam@spacex.com" TargetMode="External"/><Relationship Id="rId24" Type="http://schemas.openxmlformats.org/officeDocument/2006/relationships/image" Target="media/image10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9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meson.dempsey@spacex.com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Number xmlns="c77a776c-8872-4f88-b3be-07b484cb982b" xsi:nil="true"/>
    <lcf76f155ced4ddcb4097134ff3c332f xmlns="c77a776c-8872-4f88-b3be-07b484cb982b">
      <Terms xmlns="http://schemas.microsoft.com/office/infopath/2007/PartnerControls"/>
    </lcf76f155ced4ddcb4097134ff3c332f>
    <TaxCatchAll xmlns="cd6f4b3e-6665-4cf4-b080-7abf162754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6BA11C06EAB49B4836D790ECE27DB" ma:contentTypeVersion="18" ma:contentTypeDescription="Create a new document." ma:contentTypeScope="" ma:versionID="04af5b027179ea4de0712537c8936f19">
  <xsd:schema xmlns:xsd="http://www.w3.org/2001/XMLSchema" xmlns:xs="http://www.w3.org/2001/XMLSchema" xmlns:p="http://schemas.microsoft.com/office/2006/metadata/properties" xmlns:ns2="c77a776c-8872-4f88-b3be-07b484cb982b" xmlns:ns3="cd6f4b3e-6665-4cf4-b080-7abf16275423" targetNamespace="http://schemas.microsoft.com/office/2006/metadata/properties" ma:root="true" ma:fieldsID="7db59310c9226e8253a70324ef2a07bf" ns2:_="" ns3:_="">
    <xsd:import namespace="c77a776c-8872-4f88-b3be-07b484cb982b"/>
    <xsd:import namespace="cd6f4b3e-6665-4cf4-b080-7abf162754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Spec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776c-8872-4f88-b3be-07b484cb9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393029-c997-42a1-98e0-ed9d61947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pecNumber" ma:index="24" nillable="true" ma:displayName="Spec Number" ma:format="Dropdown" ma:internalName="SpecNumber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f4b3e-6665-4cf4-b080-7abf162754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daa345-7969-46a5-928c-637e05d3cece}" ma:internalName="TaxCatchAll" ma:showField="CatchAllData" ma:web="cd6f4b3e-6665-4cf4-b080-7abf16275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E5862-6579-4826-8A5D-3E2F524AA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DAFE4D-6725-415F-81B5-88D41AB3B33F}">
  <ds:schemaRefs>
    <ds:schemaRef ds:uri="http://schemas.microsoft.com/office/2006/metadata/properties"/>
    <ds:schemaRef ds:uri="http://schemas.microsoft.com/office/infopath/2007/PartnerControls"/>
    <ds:schemaRef ds:uri="c77a776c-8872-4f88-b3be-07b484cb982b"/>
    <ds:schemaRef ds:uri="cd6f4b3e-6665-4cf4-b080-7abf16275423"/>
  </ds:schemaRefs>
</ds:datastoreItem>
</file>

<file path=customXml/itemProps3.xml><?xml version="1.0" encoding="utf-8"?>
<ds:datastoreItem xmlns:ds="http://schemas.openxmlformats.org/officeDocument/2006/customXml" ds:itemID="{AB8271C6-C461-4F81-B528-3358EA6E6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C61A9-3A5A-45A7-9C6E-91CA18D59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776c-8872-4f88-b3be-07b484cb982b"/>
    <ds:schemaRef ds:uri="cd6f4b3e-6665-4cf4-b080-7abf16275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28</TotalTime>
  <Pages>15</Pages>
  <Words>2060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BR</dc:creator>
  <cp:lastModifiedBy>Tonga</cp:lastModifiedBy>
  <cp:revision>8</cp:revision>
  <cp:lastPrinted>2008-02-21T14:04:00Z</cp:lastPrinted>
  <dcterms:created xsi:type="dcterms:W3CDTF">2026-02-18T00:38:00Z</dcterms:created>
  <dcterms:modified xsi:type="dcterms:W3CDTF">2026-02-18T18:00:00Z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0x010100A356BA11C06EAB49B4836D790ECE27DB</vt:lpwstr>
  </property>
  <property fmtid="{D5CDD505-2E9C-101B-9397-08002B2CF9AE}" pid="6" name="MSIP_Label_e3a1bc8a-c77f-42fc-94c5-4575f811706d_Enabled">
    <vt:lpwstr>true</vt:lpwstr>
  </property>
  <property fmtid="{D5CDD505-2E9C-101B-9397-08002B2CF9AE}" pid="7" name="MSIP_Label_e3a1bc8a-c77f-42fc-94c5-4575f811706d_SetDate">
    <vt:lpwstr>2025-09-23T20:10:33Z</vt:lpwstr>
  </property>
  <property fmtid="{D5CDD505-2E9C-101B-9397-08002B2CF9AE}" pid="8" name="MSIP_Label_e3a1bc8a-c77f-42fc-94c5-4575f811706d_Method">
    <vt:lpwstr>Standard</vt:lpwstr>
  </property>
  <property fmtid="{D5CDD505-2E9C-101B-9397-08002B2CF9AE}" pid="9" name="MSIP_Label_e3a1bc8a-c77f-42fc-94c5-4575f811706d_Name">
    <vt:lpwstr>e3a1bc8a-c77f-42fc-94c5-4575f811706d</vt:lpwstr>
  </property>
  <property fmtid="{D5CDD505-2E9C-101B-9397-08002B2CF9AE}" pid="10" name="MSIP_Label_e3a1bc8a-c77f-42fc-94c5-4575f811706d_SiteId">
    <vt:lpwstr>fb7083da-754c-45a4-8b6b-a05941a3a3e9</vt:lpwstr>
  </property>
  <property fmtid="{D5CDD505-2E9C-101B-9397-08002B2CF9AE}" pid="11" name="MSIP_Label_e3a1bc8a-c77f-42fc-94c5-4575f811706d_ActionId">
    <vt:lpwstr>916bea56-4578-4fb6-9bab-13dd24411e3c</vt:lpwstr>
  </property>
  <property fmtid="{D5CDD505-2E9C-101B-9397-08002B2CF9AE}" pid="12" name="MSIP_Label_e3a1bc8a-c77f-42fc-94c5-4575f811706d_ContentBits">
    <vt:lpwstr>0</vt:lpwstr>
  </property>
  <property fmtid="{D5CDD505-2E9C-101B-9397-08002B2CF9AE}" pid="13" name="MSIP_Label_e3a1bc8a-c77f-42fc-94c5-4575f811706d_Tag">
    <vt:lpwstr>50, 3, 0, 1</vt:lpwstr>
  </property>
  <property fmtid="{D5CDD505-2E9C-101B-9397-08002B2CF9AE}" pid="14" name="MediaServiceImageTags">
    <vt:lpwstr/>
  </property>
</Properties>
</file>