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67DF633F"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D71A45F"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7BBB9F68"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4699C473" w14:textId="77777777" w:rsidTr="00B54F31">
        <w:trPr>
          <w:trHeight w:val="951"/>
        </w:trPr>
        <w:tc>
          <w:tcPr>
            <w:tcW w:w="3984" w:type="dxa"/>
            <w:tcBorders>
              <w:left w:val="double" w:sz="6" w:space="0" w:color="auto"/>
            </w:tcBorders>
          </w:tcPr>
          <w:p w14:paraId="7FEF5B7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1C9621C2" w14:textId="3DE71D98" w:rsidR="00790A03" w:rsidRPr="00A02BF0" w:rsidRDefault="00790A03" w:rsidP="009A63E4">
            <w:pPr>
              <w:spacing w:after="120"/>
              <w:ind w:left="144" w:right="144"/>
            </w:pPr>
            <w:r w:rsidRPr="00A02BF0">
              <w:rPr>
                <w:b/>
              </w:rPr>
              <w:t>Document No:</w:t>
            </w:r>
            <w:r w:rsidRPr="00A02BF0">
              <w:t xml:space="preserve">  USWP</w:t>
            </w:r>
            <w:r w:rsidR="00654F3B">
              <w:t>1A</w:t>
            </w:r>
            <w:r w:rsidRPr="00A02BF0">
              <w:t>-</w:t>
            </w:r>
            <w:r w:rsidR="009A63E4">
              <w:t>01_NC</w:t>
            </w:r>
          </w:p>
        </w:tc>
      </w:tr>
      <w:tr w:rsidR="00790A03" w:rsidRPr="00A02BF0" w14:paraId="388EEE6C" w14:textId="77777777" w:rsidTr="00B54F31">
        <w:trPr>
          <w:trHeight w:val="378"/>
        </w:trPr>
        <w:tc>
          <w:tcPr>
            <w:tcW w:w="3984" w:type="dxa"/>
            <w:tcBorders>
              <w:left w:val="double" w:sz="6" w:space="0" w:color="auto"/>
            </w:tcBorders>
          </w:tcPr>
          <w:p w14:paraId="141259BB" w14:textId="0998DEC5" w:rsidR="00790A03" w:rsidRPr="00A02BF0" w:rsidRDefault="00790A03" w:rsidP="00790A03">
            <w:pPr>
              <w:ind w:left="144" w:right="144"/>
            </w:pPr>
            <w:r w:rsidRPr="00A02BF0">
              <w:rPr>
                <w:b/>
              </w:rPr>
              <w:t>Ref:</w:t>
            </w:r>
            <w:r>
              <w:rPr>
                <w:b/>
              </w:rPr>
              <w:t xml:space="preserve">  </w:t>
            </w:r>
            <w:r w:rsidR="00EB7E9A">
              <w:t xml:space="preserve">WRC-19 Res. </w:t>
            </w:r>
            <w:r w:rsidR="00EB7E9A" w:rsidRPr="00E41AEB">
              <w:rPr>
                <w:b/>
              </w:rPr>
              <w:t>731</w:t>
            </w:r>
            <w:r>
              <w:rPr>
                <w:b/>
              </w:rPr>
              <w:br/>
            </w:r>
            <w:r w:rsidRPr="00B96F28">
              <w:t xml:space="preserve"> </w:t>
            </w:r>
          </w:p>
        </w:tc>
        <w:tc>
          <w:tcPr>
            <w:tcW w:w="5409" w:type="dxa"/>
            <w:tcBorders>
              <w:right w:val="double" w:sz="6" w:space="0" w:color="auto"/>
            </w:tcBorders>
          </w:tcPr>
          <w:p w14:paraId="1F090844" w14:textId="4CBDC540" w:rsidR="00790A03" w:rsidRPr="00A02BF0" w:rsidRDefault="00790A03" w:rsidP="00A30D7E">
            <w:pPr>
              <w:tabs>
                <w:tab w:val="left" w:pos="162"/>
              </w:tabs>
              <w:ind w:left="612" w:right="144" w:hanging="468"/>
            </w:pPr>
            <w:r w:rsidRPr="00A02BF0">
              <w:rPr>
                <w:b/>
              </w:rPr>
              <w:t>Date:</w:t>
            </w:r>
            <w:r w:rsidRPr="00A02BF0">
              <w:t xml:space="preserve">  </w:t>
            </w:r>
            <w:r w:rsidR="00F50091">
              <w:t>23 October</w:t>
            </w:r>
            <w:r w:rsidR="00C52078">
              <w:t xml:space="preserve"> 20</w:t>
            </w:r>
            <w:r w:rsidR="00654F3B">
              <w:t>20</w:t>
            </w:r>
          </w:p>
        </w:tc>
      </w:tr>
      <w:tr w:rsidR="00790A03" w:rsidRPr="00A02BF0" w14:paraId="55A05529" w14:textId="77777777" w:rsidTr="00B54F31">
        <w:trPr>
          <w:trHeight w:val="459"/>
        </w:trPr>
        <w:tc>
          <w:tcPr>
            <w:tcW w:w="9393" w:type="dxa"/>
            <w:gridSpan w:val="2"/>
            <w:tcBorders>
              <w:left w:val="double" w:sz="6" w:space="0" w:color="auto"/>
              <w:right w:val="double" w:sz="6" w:space="0" w:color="auto"/>
            </w:tcBorders>
          </w:tcPr>
          <w:p w14:paraId="70153A8C" w14:textId="0DA473BC" w:rsidR="008D6007" w:rsidRDefault="00790A03" w:rsidP="00790A03">
            <w:pPr>
              <w:pStyle w:val="Heading2"/>
              <w:rPr>
                <w:bCs/>
                <w:szCs w:val="24"/>
              </w:rPr>
            </w:pPr>
            <w:r>
              <w:rPr>
                <w:bCs/>
                <w:szCs w:val="24"/>
              </w:rPr>
              <w:t xml:space="preserve">Document Title:  </w:t>
            </w:r>
            <w:r w:rsidR="008D6007" w:rsidRPr="008D6007">
              <w:rPr>
                <w:b w:val="0"/>
                <w:bCs/>
                <w:szCs w:val="24"/>
              </w:rPr>
              <w:t>Proposal to initiate work under</w:t>
            </w:r>
            <w:r w:rsidR="008D6007">
              <w:rPr>
                <w:bCs/>
                <w:szCs w:val="24"/>
              </w:rPr>
              <w:t xml:space="preserve"> </w:t>
            </w:r>
            <w:r w:rsidR="008D6007" w:rsidRPr="008D6007">
              <w:rPr>
                <w:b w:val="0"/>
                <w:bCs/>
                <w:szCs w:val="24"/>
              </w:rPr>
              <w:t>Resolution</w:t>
            </w:r>
            <w:r w:rsidR="008D6007">
              <w:rPr>
                <w:bCs/>
                <w:szCs w:val="24"/>
              </w:rPr>
              <w:t xml:space="preserve"> 731 (Rev.WRC-19)</w:t>
            </w:r>
          </w:p>
          <w:p w14:paraId="42B5DB06" w14:textId="441B48AE" w:rsidR="00790A03" w:rsidRPr="00790A03" w:rsidRDefault="00790A03" w:rsidP="008D6007">
            <w:pPr>
              <w:pStyle w:val="Heading2"/>
              <w:rPr>
                <w:lang w:eastAsia="zh-CN"/>
              </w:rPr>
            </w:pPr>
            <w:r w:rsidRPr="00642C8A">
              <w:rPr>
                <w:b w:val="0"/>
                <w:lang w:eastAsia="zh-CN"/>
              </w:rPr>
              <w:t xml:space="preserve"> </w:t>
            </w:r>
          </w:p>
        </w:tc>
      </w:tr>
      <w:tr w:rsidR="00790A03" w:rsidRPr="00A02BF0" w14:paraId="45B7A12C" w14:textId="77777777" w:rsidTr="00B54F31">
        <w:trPr>
          <w:trHeight w:val="1960"/>
        </w:trPr>
        <w:tc>
          <w:tcPr>
            <w:tcW w:w="3984" w:type="dxa"/>
            <w:tcBorders>
              <w:left w:val="double" w:sz="6" w:space="0" w:color="auto"/>
            </w:tcBorders>
          </w:tcPr>
          <w:p w14:paraId="02EFF9E3" w14:textId="77777777" w:rsidR="00790A03" w:rsidRPr="00A02BF0" w:rsidRDefault="00790A03" w:rsidP="00B54F31">
            <w:pPr>
              <w:ind w:left="144" w:right="144"/>
              <w:rPr>
                <w:b/>
              </w:rPr>
            </w:pPr>
            <w:r w:rsidRPr="00A02BF0">
              <w:rPr>
                <w:b/>
              </w:rPr>
              <w:t>Author(s)/Contributors(s):</w:t>
            </w:r>
          </w:p>
          <w:p w14:paraId="0A216E65" w14:textId="77777777" w:rsidR="00E966FD" w:rsidRDefault="00E966FD" w:rsidP="00B54F31">
            <w:pPr>
              <w:ind w:left="144" w:right="144"/>
              <w:rPr>
                <w:bCs/>
                <w:iCs/>
              </w:rPr>
            </w:pPr>
          </w:p>
          <w:p w14:paraId="4B5233D5" w14:textId="408D5C79" w:rsidR="00790A03" w:rsidRDefault="00EB7E9A" w:rsidP="00B54F31">
            <w:pPr>
              <w:ind w:left="144" w:right="144"/>
              <w:rPr>
                <w:bCs/>
                <w:iCs/>
              </w:rPr>
            </w:pPr>
            <w:r>
              <w:rPr>
                <w:bCs/>
                <w:iCs/>
              </w:rPr>
              <w:t>Michael Marcus</w:t>
            </w:r>
          </w:p>
          <w:p w14:paraId="2B9B5F54" w14:textId="45BA2EC5" w:rsidR="00790A03" w:rsidRDefault="00EB7E9A" w:rsidP="00B54F31">
            <w:pPr>
              <w:ind w:left="144" w:right="144"/>
              <w:rPr>
                <w:bCs/>
                <w:iCs/>
              </w:rPr>
            </w:pPr>
            <w:r>
              <w:rPr>
                <w:bCs/>
                <w:iCs/>
              </w:rPr>
              <w:t>Marcus Spectrum Solutions</w:t>
            </w:r>
          </w:p>
          <w:p w14:paraId="02A4E80B" w14:textId="77777777" w:rsidR="00790A03" w:rsidRDefault="00790A03" w:rsidP="00B54F31">
            <w:pPr>
              <w:ind w:left="144" w:right="144"/>
              <w:rPr>
                <w:bCs/>
                <w:iCs/>
              </w:rPr>
            </w:pPr>
          </w:p>
          <w:p w14:paraId="0B66AF43" w14:textId="5A8D1F71" w:rsidR="00790A03" w:rsidRDefault="00EB7E9A" w:rsidP="00B54F31">
            <w:pPr>
              <w:ind w:left="144" w:right="144"/>
              <w:rPr>
                <w:bCs/>
                <w:iCs/>
              </w:rPr>
            </w:pPr>
            <w:r>
              <w:rPr>
                <w:bCs/>
                <w:iCs/>
              </w:rPr>
              <w:t>Josep Jornet</w:t>
            </w:r>
          </w:p>
          <w:p w14:paraId="7D5E58D5" w14:textId="12B35571" w:rsidR="00790A03" w:rsidRDefault="00EB7E9A" w:rsidP="00B54F31">
            <w:pPr>
              <w:ind w:left="144" w:right="144"/>
              <w:rPr>
                <w:bCs/>
                <w:iCs/>
              </w:rPr>
            </w:pPr>
            <w:r>
              <w:rPr>
                <w:bCs/>
                <w:iCs/>
              </w:rPr>
              <w:t>Northeastern University</w:t>
            </w:r>
          </w:p>
          <w:p w14:paraId="04E189E6" w14:textId="5B73F8B9" w:rsidR="00560B28" w:rsidRDefault="00560B28" w:rsidP="00B54F31">
            <w:pPr>
              <w:ind w:left="144" w:right="144"/>
              <w:rPr>
                <w:bCs/>
                <w:iCs/>
              </w:rPr>
            </w:pPr>
          </w:p>
          <w:p w14:paraId="133308E6" w14:textId="77777777" w:rsidR="00560B28" w:rsidRDefault="00560B28" w:rsidP="00560B28">
            <w:pPr>
              <w:ind w:left="144" w:right="144"/>
              <w:rPr>
                <w:bCs/>
                <w:iCs/>
              </w:rPr>
            </w:pPr>
            <w:r w:rsidRPr="00560B28">
              <w:rPr>
                <w:bCs/>
                <w:iCs/>
              </w:rPr>
              <w:t xml:space="preserve">Xavier Cantos </w:t>
            </w:r>
            <w:r>
              <w:rPr>
                <w:bCs/>
                <w:iCs/>
              </w:rPr>
              <w:t xml:space="preserve"> </w:t>
            </w:r>
          </w:p>
          <w:p w14:paraId="0C47F3A0" w14:textId="58781E66" w:rsidR="00560B28" w:rsidRDefault="00560B28" w:rsidP="00560B28">
            <w:pPr>
              <w:ind w:left="144" w:right="144"/>
              <w:rPr>
                <w:bCs/>
                <w:iCs/>
              </w:rPr>
            </w:pPr>
            <w:r>
              <w:rPr>
                <w:bCs/>
                <w:iCs/>
              </w:rPr>
              <w:t>Northeastern University</w:t>
            </w:r>
          </w:p>
          <w:p w14:paraId="0B19A594" w14:textId="3F59F6ED" w:rsidR="00560B28" w:rsidRDefault="00560B28" w:rsidP="00B54F31">
            <w:pPr>
              <w:ind w:left="144" w:right="144"/>
              <w:rPr>
                <w:bCs/>
                <w:iCs/>
              </w:rPr>
            </w:pPr>
          </w:p>
          <w:p w14:paraId="2782DCC1" w14:textId="77777777" w:rsidR="00790A03" w:rsidRDefault="00790A03" w:rsidP="00B54F31">
            <w:pPr>
              <w:ind w:left="144" w:right="144"/>
              <w:rPr>
                <w:bCs/>
                <w:iCs/>
              </w:rPr>
            </w:pPr>
          </w:p>
          <w:p w14:paraId="625BACB5" w14:textId="0ED5CE85" w:rsidR="00790A03" w:rsidRDefault="00790A03" w:rsidP="00EB7E9A">
            <w:pPr>
              <w:ind w:right="144"/>
              <w:rPr>
                <w:bCs/>
                <w:iCs/>
              </w:rPr>
            </w:pPr>
          </w:p>
          <w:p w14:paraId="71FD785D" w14:textId="77777777" w:rsidR="00790A03" w:rsidRPr="00A02BF0" w:rsidRDefault="00790A03" w:rsidP="00B54F31">
            <w:pPr>
              <w:ind w:left="144" w:right="144"/>
              <w:rPr>
                <w:bCs/>
                <w:iCs/>
              </w:rPr>
            </w:pPr>
            <w:r w:rsidRPr="00A02BF0">
              <w:rPr>
                <w:bCs/>
                <w:iCs/>
              </w:rPr>
              <w:br/>
            </w:r>
          </w:p>
        </w:tc>
        <w:tc>
          <w:tcPr>
            <w:tcW w:w="5409" w:type="dxa"/>
            <w:tcBorders>
              <w:right w:val="double" w:sz="6" w:space="0" w:color="auto"/>
            </w:tcBorders>
          </w:tcPr>
          <w:p w14:paraId="23FF751C" w14:textId="77777777" w:rsidR="00790A03" w:rsidRDefault="00790A03" w:rsidP="00B54F31">
            <w:pPr>
              <w:ind w:right="144"/>
              <w:rPr>
                <w:b/>
                <w:bCs/>
              </w:rPr>
            </w:pPr>
          </w:p>
          <w:p w14:paraId="1A3C6740" w14:textId="5C5201A2" w:rsidR="00790A03" w:rsidRDefault="00790A03" w:rsidP="00B54F31">
            <w:pPr>
              <w:ind w:right="144"/>
              <w:rPr>
                <w:bCs/>
              </w:rPr>
            </w:pPr>
            <w:r w:rsidRPr="00A02BF0">
              <w:rPr>
                <w:b/>
                <w:bCs/>
              </w:rPr>
              <w:t>Email</w:t>
            </w:r>
            <w:r>
              <w:rPr>
                <w:bCs/>
              </w:rPr>
              <w:t xml:space="preserve">:  </w:t>
            </w:r>
            <w:r w:rsidR="00EB7E9A">
              <w:rPr>
                <w:bCs/>
              </w:rPr>
              <w:t>mjmarcus@Marcus-spectrum.com</w:t>
            </w:r>
            <w:r w:rsidRPr="00A02BF0">
              <w:rPr>
                <w:bCs/>
              </w:rPr>
              <w:br/>
            </w:r>
            <w:r w:rsidRPr="00A02BF0">
              <w:rPr>
                <w:b/>
                <w:bCs/>
              </w:rPr>
              <w:t>Phone</w:t>
            </w:r>
            <w:r w:rsidRPr="00A02BF0">
              <w:rPr>
                <w:bCs/>
              </w:rPr>
              <w:t>:</w:t>
            </w:r>
            <w:r>
              <w:rPr>
                <w:bCs/>
              </w:rPr>
              <w:t xml:space="preserve">  </w:t>
            </w:r>
            <w:r w:rsidR="00EB7E9A">
              <w:rPr>
                <w:bCs/>
              </w:rPr>
              <w:t>301-229-7715</w:t>
            </w:r>
            <w:r w:rsidRPr="00A02BF0">
              <w:rPr>
                <w:bCs/>
              </w:rPr>
              <w:br/>
            </w:r>
          </w:p>
          <w:p w14:paraId="1A51BEF2" w14:textId="4C928F62" w:rsidR="00790A03" w:rsidRDefault="00790A03" w:rsidP="00EB7E9A">
            <w:pPr>
              <w:rPr>
                <w:bCs/>
              </w:rPr>
            </w:pPr>
            <w:r>
              <w:rPr>
                <w:b/>
                <w:bCs/>
              </w:rPr>
              <w:t>Email</w:t>
            </w:r>
            <w:r>
              <w:rPr>
                <w:bCs/>
              </w:rPr>
              <w:t>:</w:t>
            </w:r>
            <w:r w:rsidR="00EB7E9A">
              <w:rPr>
                <w:bCs/>
              </w:rPr>
              <w:t xml:space="preserve"> </w:t>
            </w:r>
            <w:r w:rsidR="00EB7E9A">
              <w:t xml:space="preserve"> </w:t>
            </w:r>
            <w:r w:rsidR="00EB7E9A" w:rsidRPr="0066659A">
              <w:t>j.jornet@northeastern.edu</w:t>
            </w:r>
            <w:r>
              <w:rPr>
                <w:bCs/>
              </w:rPr>
              <w:br/>
            </w:r>
            <w:r>
              <w:rPr>
                <w:b/>
                <w:bCs/>
              </w:rPr>
              <w:t>Phone</w:t>
            </w:r>
            <w:r>
              <w:rPr>
                <w:bCs/>
              </w:rPr>
              <w:t xml:space="preserve">:  </w:t>
            </w:r>
            <w:r w:rsidR="00EB7E9A">
              <w:t xml:space="preserve"> </w:t>
            </w:r>
            <w:r w:rsidR="00EB7E9A" w:rsidRPr="00EB7E9A">
              <w:rPr>
                <w:bCs/>
              </w:rPr>
              <w:t>617</w:t>
            </w:r>
            <w:r w:rsidR="00EB7E9A">
              <w:rPr>
                <w:bCs/>
              </w:rPr>
              <w:t>-</w:t>
            </w:r>
            <w:r w:rsidR="00EB7E9A" w:rsidRPr="00EB7E9A">
              <w:rPr>
                <w:bCs/>
              </w:rPr>
              <w:t>373</w:t>
            </w:r>
            <w:r w:rsidR="00EB7E9A">
              <w:rPr>
                <w:bCs/>
              </w:rPr>
              <w:t>-</w:t>
            </w:r>
            <w:r w:rsidR="00EB7E9A" w:rsidRPr="00EB7E9A">
              <w:rPr>
                <w:bCs/>
              </w:rPr>
              <w:t>5719</w:t>
            </w:r>
          </w:p>
          <w:p w14:paraId="2D938DFA" w14:textId="10BA6E77" w:rsidR="00560B28" w:rsidRDefault="00560B28" w:rsidP="00EB7E9A">
            <w:pPr>
              <w:rPr>
                <w:bCs/>
              </w:rPr>
            </w:pPr>
          </w:p>
          <w:p w14:paraId="5B2C7903" w14:textId="74176512" w:rsidR="00560B28" w:rsidRPr="00EB7E9A" w:rsidRDefault="00560B28" w:rsidP="00EB7E9A">
            <w:r>
              <w:rPr>
                <w:b/>
                <w:bCs/>
              </w:rPr>
              <w:t>Email</w:t>
            </w:r>
            <w:r>
              <w:rPr>
                <w:bCs/>
              </w:rPr>
              <w:t xml:space="preserve">: </w:t>
            </w:r>
            <w:r>
              <w:t xml:space="preserve"> </w:t>
            </w:r>
            <w:r w:rsidRPr="00560B28">
              <w:rPr>
                <w:bCs/>
                <w:iCs/>
              </w:rPr>
              <w:t>cantosroman.x@northeastern.edu</w:t>
            </w:r>
            <w:r>
              <w:rPr>
                <w:bCs/>
              </w:rPr>
              <w:br/>
            </w:r>
            <w:r>
              <w:rPr>
                <w:b/>
                <w:bCs/>
              </w:rPr>
              <w:t>Phone</w:t>
            </w:r>
            <w:r>
              <w:rPr>
                <w:bCs/>
              </w:rPr>
              <w:t xml:space="preserve">:  </w:t>
            </w:r>
            <w:r>
              <w:t xml:space="preserve"> </w:t>
            </w:r>
            <w:r w:rsidR="00E966FD" w:rsidRPr="00E966FD">
              <w:rPr>
                <w:bCs/>
              </w:rPr>
              <w:t>617.373.4897</w:t>
            </w:r>
          </w:p>
          <w:p w14:paraId="06C16E78" w14:textId="33F0A2C5" w:rsidR="00790A03" w:rsidRPr="00F022CE" w:rsidRDefault="00790A03" w:rsidP="00790A03">
            <w:pPr>
              <w:ind w:right="144"/>
              <w:rPr>
                <w:bCs/>
              </w:rPr>
            </w:pPr>
          </w:p>
        </w:tc>
      </w:tr>
      <w:tr w:rsidR="00790A03" w:rsidRPr="00A02BF0" w14:paraId="4403EFB1" w14:textId="77777777" w:rsidTr="00B54F31">
        <w:trPr>
          <w:trHeight w:val="541"/>
        </w:trPr>
        <w:tc>
          <w:tcPr>
            <w:tcW w:w="9393" w:type="dxa"/>
            <w:gridSpan w:val="2"/>
            <w:tcBorders>
              <w:left w:val="double" w:sz="6" w:space="0" w:color="auto"/>
              <w:right w:val="double" w:sz="6" w:space="0" w:color="auto"/>
            </w:tcBorders>
          </w:tcPr>
          <w:p w14:paraId="30AEFBF0" w14:textId="03C40763" w:rsidR="00790A03" w:rsidRPr="00A02BF0" w:rsidRDefault="00790A03" w:rsidP="00EB7E9A">
            <w:pPr>
              <w:pStyle w:val="NormalWeb"/>
              <w:shd w:val="clear" w:color="auto" w:fill="FFFFFF"/>
            </w:pPr>
            <w:r w:rsidRPr="00A02BF0">
              <w:rPr>
                <w:b/>
              </w:rPr>
              <w:t>Purpose/Objective:</w:t>
            </w:r>
            <w:r w:rsidRPr="00A02BF0">
              <w:rPr>
                <w:bCs/>
              </w:rPr>
              <w:t xml:space="preserve"> </w:t>
            </w:r>
            <w:r w:rsidR="00EB7E9A">
              <w:rPr>
                <w:bCs/>
              </w:rPr>
              <w:t xml:space="preserve">WRC-19 Res. </w:t>
            </w:r>
            <w:r w:rsidR="00EB7E9A" w:rsidRPr="005F3DDC">
              <w:rPr>
                <w:b/>
                <w:bCs/>
              </w:rPr>
              <w:t>731</w:t>
            </w:r>
            <w:r w:rsidR="00EB7E9A">
              <w:rPr>
                <w:bCs/>
              </w:rPr>
              <w:t xml:space="preserve"> requested ITU-R studies on potential sharing and adjacent band compatibility between passive and active services above 71 GHz.  This contribution will consider the high dependency of uplink path propagation loss</w:t>
            </w:r>
            <w:r w:rsidR="007658D3">
              <w:rPr>
                <w:bCs/>
              </w:rPr>
              <w:t xml:space="preserve"> to path elevation angle </w:t>
            </w:r>
            <w:r w:rsidR="00EB7E9A">
              <w:rPr>
                <w:bCs/>
              </w:rPr>
              <w:t>at these frequencies</w:t>
            </w:r>
            <w:r w:rsidR="00BA4C48">
              <w:rPr>
                <w:bCs/>
              </w:rPr>
              <w:t>.</w:t>
            </w:r>
            <w:r w:rsidR="00341AA2">
              <w:rPr>
                <w:bCs/>
              </w:rPr>
              <w:t xml:space="preserve">  This model can then be used to calculate possible limits for high elevation angle sidelobe EIRP to protect EESS stations</w:t>
            </w:r>
            <w:r w:rsidR="007E6F2D">
              <w:rPr>
                <w:bCs/>
              </w:rPr>
              <w:t xml:space="preserve"> from harmful interference.</w:t>
            </w:r>
            <w:r w:rsidR="007658D3">
              <w:rPr>
                <w:bCs/>
              </w:rPr>
              <w:t xml:space="preserve"> </w:t>
            </w:r>
          </w:p>
        </w:tc>
      </w:tr>
      <w:tr w:rsidR="00790A03" w:rsidRPr="00A02BF0" w14:paraId="71409134"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660F3A68" w14:textId="14B8BA92"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341AA2">
              <w:rPr>
                <w:bCs/>
              </w:rPr>
              <w:t xml:space="preserve">Building on the </w:t>
            </w:r>
            <w:r w:rsidR="00341AA2" w:rsidRPr="00341AA2">
              <w:rPr>
                <w:bCs/>
              </w:rPr>
              <w:t>P.676-11</w:t>
            </w:r>
            <w:r w:rsidR="00341AA2">
              <w:rPr>
                <w:bCs/>
              </w:rPr>
              <w:t xml:space="preserve"> </w:t>
            </w:r>
            <w:r w:rsidR="007E6F2D">
              <w:rPr>
                <w:bCs/>
              </w:rPr>
              <w:t>and P.525 propagation methods ar</w:t>
            </w:r>
            <w:r w:rsidR="00341AA2">
              <w:rPr>
                <w:bCs/>
              </w:rPr>
              <w:t xml:space="preserve">e developed for </w:t>
            </w:r>
            <w:r w:rsidR="007E6F2D">
              <w:rPr>
                <w:bCs/>
              </w:rPr>
              <w:t xml:space="preserve">computing </w:t>
            </w:r>
            <w:r w:rsidR="00341AA2">
              <w:rPr>
                <w:bCs/>
              </w:rPr>
              <w:t xml:space="preserve">the incidental illumination of EESS systems by </w:t>
            </w:r>
            <w:r w:rsidR="007658D3">
              <w:rPr>
                <w:bCs/>
              </w:rPr>
              <w:t xml:space="preserve">sidelobes of </w:t>
            </w:r>
            <w:r w:rsidR="0066659A">
              <w:rPr>
                <w:bCs/>
              </w:rPr>
              <w:t>terrestrial</w:t>
            </w:r>
            <w:r w:rsidR="00341AA2">
              <w:rPr>
                <w:bCs/>
              </w:rPr>
              <w:t xml:space="preserve"> Fixed Service systems with low elevation angle paths.  This</w:t>
            </w:r>
            <w:r w:rsidR="007E6F2D">
              <w:rPr>
                <w:bCs/>
              </w:rPr>
              <w:t xml:space="preserve"> method could then be used </w:t>
            </w:r>
            <w:r w:rsidR="00341AA2">
              <w:rPr>
                <w:bCs/>
              </w:rPr>
              <w:t>to develop EIRP limits for high elevation angle</w:t>
            </w:r>
            <w:r w:rsidR="0066659A">
              <w:rPr>
                <w:bCs/>
              </w:rPr>
              <w:t xml:space="preserve"> emissions as a possible method to meet interference-free sharing objectives of Res. </w:t>
            </w:r>
            <w:r w:rsidR="0066659A" w:rsidRPr="005F3DDC">
              <w:rPr>
                <w:b/>
                <w:bCs/>
              </w:rPr>
              <w:t>731</w:t>
            </w:r>
            <w:r w:rsidR="0066659A">
              <w:rPr>
                <w:bCs/>
              </w:rPr>
              <w:t>.  Both individual and cumulative signal strengths from such uses are considered in the context of meeting RS.2017 protection limits.</w:t>
            </w:r>
          </w:p>
        </w:tc>
      </w:tr>
    </w:tbl>
    <w:p w14:paraId="550F6788" w14:textId="1D8D1BB0" w:rsidR="006B4A9F" w:rsidRDefault="006B4A9F"/>
    <w:p w14:paraId="496BF6B8" w14:textId="77777777" w:rsidR="006B4A9F" w:rsidRDefault="006B4A9F">
      <w:pPr>
        <w:spacing w:after="160" w:line="259" w:lineRule="auto"/>
      </w:pPr>
      <w:r>
        <w:br w:type="page"/>
      </w:r>
      <w:bookmarkStart w:id="0" w:name="_GoBack"/>
      <w:bookmarkEnd w:id="0"/>
    </w:p>
    <w:p w14:paraId="21525E9F" w14:textId="77777777" w:rsidR="006B4A9F" w:rsidRDefault="006B4A9F" w:rsidP="006B4A9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B4A9F" w14:paraId="635BAE87" w14:textId="77777777" w:rsidTr="00402C3A">
        <w:trPr>
          <w:cantSplit/>
        </w:trPr>
        <w:tc>
          <w:tcPr>
            <w:tcW w:w="6487" w:type="dxa"/>
            <w:vAlign w:val="center"/>
          </w:tcPr>
          <w:p w14:paraId="7004CA3B" w14:textId="77777777" w:rsidR="006B4A9F" w:rsidRPr="00D8032B" w:rsidRDefault="006B4A9F" w:rsidP="00402C3A">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2CF3CC9" w14:textId="77777777" w:rsidR="006B4A9F" w:rsidRDefault="006B4A9F" w:rsidP="00402C3A">
            <w:pPr>
              <w:shd w:val="solid" w:color="FFFFFF" w:fill="FFFFFF"/>
              <w:spacing w:line="240" w:lineRule="atLeast"/>
            </w:pPr>
            <w:r>
              <w:rPr>
                <w:noProof/>
              </w:rPr>
              <w:drawing>
                <wp:inline distT="0" distB="0" distL="0" distR="0" wp14:anchorId="253B5C9F" wp14:editId="715D0930">
                  <wp:extent cx="765175" cy="7651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B4A9F" w:rsidRPr="0051782D" w14:paraId="36B50FC5" w14:textId="77777777" w:rsidTr="00402C3A">
        <w:trPr>
          <w:cantSplit/>
        </w:trPr>
        <w:tc>
          <w:tcPr>
            <w:tcW w:w="6487" w:type="dxa"/>
            <w:tcBorders>
              <w:bottom w:val="single" w:sz="12" w:space="0" w:color="auto"/>
            </w:tcBorders>
          </w:tcPr>
          <w:p w14:paraId="4F436422" w14:textId="77777777" w:rsidR="006B4A9F" w:rsidRPr="00163271" w:rsidRDefault="006B4A9F" w:rsidP="00402C3A">
            <w:pPr>
              <w:shd w:val="solid" w:color="FFFFFF" w:fill="FFFFFF"/>
              <w:spacing w:after="48"/>
              <w:rPr>
                <w:rFonts w:ascii="Verdana" w:hAnsi="Verdana" w:cs="Times New Roman Bold"/>
                <w:b/>
              </w:rPr>
            </w:pPr>
          </w:p>
        </w:tc>
        <w:tc>
          <w:tcPr>
            <w:tcW w:w="3402" w:type="dxa"/>
            <w:tcBorders>
              <w:bottom w:val="single" w:sz="12" w:space="0" w:color="auto"/>
            </w:tcBorders>
          </w:tcPr>
          <w:p w14:paraId="67655D31" w14:textId="77777777" w:rsidR="006B4A9F" w:rsidRPr="0051782D" w:rsidRDefault="006B4A9F" w:rsidP="00402C3A">
            <w:pPr>
              <w:shd w:val="solid" w:color="FFFFFF" w:fill="FFFFFF"/>
              <w:spacing w:after="48" w:line="240" w:lineRule="atLeast"/>
            </w:pPr>
          </w:p>
        </w:tc>
      </w:tr>
      <w:tr w:rsidR="006B4A9F" w14:paraId="32C299FC" w14:textId="77777777" w:rsidTr="00402C3A">
        <w:trPr>
          <w:cantSplit/>
        </w:trPr>
        <w:tc>
          <w:tcPr>
            <w:tcW w:w="6487" w:type="dxa"/>
            <w:tcBorders>
              <w:top w:val="single" w:sz="12" w:space="0" w:color="auto"/>
            </w:tcBorders>
          </w:tcPr>
          <w:p w14:paraId="5B2AD2C7" w14:textId="26A2D97C" w:rsidR="006B4A9F" w:rsidRPr="000D521C" w:rsidRDefault="005F3DDC" w:rsidP="005F3DDC">
            <w:pPr>
              <w:shd w:val="solid" w:color="FFFFFF" w:fill="FFFFFF"/>
              <w:spacing w:after="48"/>
              <w:rPr>
                <w:rFonts w:ascii="Verdana" w:hAnsi="Verdana" w:cs="Times New Roman Bold"/>
                <w:bCs/>
                <w:sz w:val="20"/>
                <w:szCs w:val="20"/>
              </w:rPr>
            </w:pPr>
            <w:r>
              <w:rPr>
                <w:rFonts w:ascii="Verdana" w:hAnsi="Verdana" w:cs="Times New Roman Bold"/>
                <w:bCs/>
                <w:sz w:val="20"/>
                <w:szCs w:val="20"/>
              </w:rPr>
              <w:t xml:space="preserve">Reference </w:t>
            </w:r>
            <w:r w:rsidR="006B4A9F" w:rsidRPr="000D521C">
              <w:rPr>
                <w:rFonts w:ascii="Verdana" w:hAnsi="Verdana" w:cs="Times New Roman Bold"/>
                <w:bCs/>
                <w:sz w:val="20"/>
                <w:szCs w:val="20"/>
              </w:rPr>
              <w:t>Res</w:t>
            </w:r>
            <w:r>
              <w:rPr>
                <w:rFonts w:ascii="Verdana" w:hAnsi="Verdana" w:cs="Times New Roman Bold"/>
                <w:bCs/>
                <w:sz w:val="20"/>
                <w:szCs w:val="20"/>
              </w:rPr>
              <w:t>olution</w:t>
            </w:r>
            <w:r w:rsidR="006B4A9F" w:rsidRPr="000D521C">
              <w:rPr>
                <w:rFonts w:ascii="Verdana" w:hAnsi="Verdana" w:cs="Times New Roman Bold"/>
                <w:bCs/>
                <w:sz w:val="20"/>
                <w:szCs w:val="20"/>
              </w:rPr>
              <w:t xml:space="preserve"> </w:t>
            </w:r>
            <w:r w:rsidR="006B4A9F" w:rsidRPr="005F3DDC">
              <w:rPr>
                <w:rFonts w:ascii="Verdana" w:hAnsi="Verdana" w:cs="Times New Roman Bold"/>
                <w:b/>
                <w:bCs/>
                <w:sz w:val="20"/>
                <w:szCs w:val="20"/>
              </w:rPr>
              <w:t>731</w:t>
            </w:r>
            <w:r w:rsidRPr="005F3DDC">
              <w:rPr>
                <w:rFonts w:ascii="Verdana" w:hAnsi="Verdana" w:cs="Times New Roman Bold"/>
                <w:b/>
                <w:bCs/>
                <w:sz w:val="20"/>
                <w:szCs w:val="20"/>
              </w:rPr>
              <w:t xml:space="preserve"> (Rev.WRC-19)</w:t>
            </w:r>
          </w:p>
        </w:tc>
        <w:tc>
          <w:tcPr>
            <w:tcW w:w="3402" w:type="dxa"/>
            <w:tcBorders>
              <w:top w:val="single" w:sz="12" w:space="0" w:color="auto"/>
            </w:tcBorders>
          </w:tcPr>
          <w:p w14:paraId="14E510CF" w14:textId="77777777" w:rsidR="006B4A9F" w:rsidRPr="00710D66" w:rsidRDefault="006B4A9F" w:rsidP="00402C3A">
            <w:pPr>
              <w:shd w:val="solid" w:color="FFFFFF" w:fill="FFFFFF"/>
              <w:spacing w:after="48" w:line="240" w:lineRule="atLeast"/>
            </w:pPr>
          </w:p>
        </w:tc>
      </w:tr>
      <w:tr w:rsidR="006B4A9F" w14:paraId="0B346DD2" w14:textId="77777777" w:rsidTr="00402C3A">
        <w:trPr>
          <w:cantSplit/>
        </w:trPr>
        <w:tc>
          <w:tcPr>
            <w:tcW w:w="6487" w:type="dxa"/>
            <w:vMerge w:val="restart"/>
          </w:tcPr>
          <w:p w14:paraId="6E9A28A5" w14:textId="77777777" w:rsidR="006B4A9F" w:rsidRPr="00982084" w:rsidRDefault="006B4A9F" w:rsidP="00402C3A">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tc>
        <w:tc>
          <w:tcPr>
            <w:tcW w:w="3402" w:type="dxa"/>
          </w:tcPr>
          <w:p w14:paraId="2B162273" w14:textId="77777777" w:rsidR="006B4A9F" w:rsidRPr="00226A97" w:rsidRDefault="006B4A9F" w:rsidP="00402C3A">
            <w:pPr>
              <w:shd w:val="solid" w:color="FFFFFF" w:fill="FFFFFF"/>
              <w:spacing w:line="240" w:lineRule="atLeast"/>
              <w:rPr>
                <w:rFonts w:ascii="Verdana" w:hAnsi="Verdana"/>
                <w:sz w:val="20"/>
                <w:lang w:eastAsia="zh-CN"/>
              </w:rPr>
            </w:pPr>
            <w:r>
              <w:rPr>
                <w:rFonts w:ascii="Verdana" w:hAnsi="Verdana"/>
                <w:b/>
                <w:sz w:val="20"/>
                <w:lang w:eastAsia="zh-CN"/>
              </w:rPr>
              <w:t>Document 1A/</w:t>
            </w:r>
          </w:p>
        </w:tc>
      </w:tr>
      <w:tr w:rsidR="006B4A9F" w14:paraId="1D7954E6" w14:textId="77777777" w:rsidTr="00402C3A">
        <w:trPr>
          <w:cantSplit/>
        </w:trPr>
        <w:tc>
          <w:tcPr>
            <w:tcW w:w="6487" w:type="dxa"/>
            <w:vMerge/>
          </w:tcPr>
          <w:p w14:paraId="7565D52C" w14:textId="77777777" w:rsidR="006B4A9F" w:rsidRDefault="006B4A9F" w:rsidP="00402C3A">
            <w:pPr>
              <w:spacing w:before="60"/>
              <w:jc w:val="center"/>
              <w:rPr>
                <w:b/>
                <w:smallCaps/>
                <w:sz w:val="32"/>
                <w:lang w:eastAsia="zh-CN"/>
              </w:rPr>
            </w:pPr>
          </w:p>
        </w:tc>
        <w:tc>
          <w:tcPr>
            <w:tcW w:w="3402" w:type="dxa"/>
          </w:tcPr>
          <w:p w14:paraId="5EAFE88D" w14:textId="77777777" w:rsidR="006B4A9F" w:rsidRPr="00226A97" w:rsidRDefault="006B4A9F" w:rsidP="00402C3A">
            <w:pPr>
              <w:shd w:val="solid" w:color="FFFFFF" w:fill="FFFFFF"/>
              <w:spacing w:line="240" w:lineRule="atLeast"/>
              <w:rPr>
                <w:rFonts w:ascii="Verdana" w:hAnsi="Verdana"/>
                <w:sz w:val="20"/>
                <w:lang w:eastAsia="zh-CN"/>
              </w:rPr>
            </w:pPr>
          </w:p>
        </w:tc>
      </w:tr>
      <w:tr w:rsidR="006B4A9F" w14:paraId="0DD7B896" w14:textId="77777777" w:rsidTr="00402C3A">
        <w:trPr>
          <w:cantSplit/>
        </w:trPr>
        <w:tc>
          <w:tcPr>
            <w:tcW w:w="6487" w:type="dxa"/>
            <w:vMerge/>
          </w:tcPr>
          <w:p w14:paraId="52BAAFB4" w14:textId="77777777" w:rsidR="006B4A9F" w:rsidRDefault="006B4A9F" w:rsidP="00402C3A">
            <w:pPr>
              <w:spacing w:before="60"/>
              <w:jc w:val="center"/>
              <w:rPr>
                <w:b/>
                <w:smallCaps/>
                <w:sz w:val="32"/>
                <w:lang w:eastAsia="zh-CN"/>
              </w:rPr>
            </w:pPr>
          </w:p>
        </w:tc>
        <w:tc>
          <w:tcPr>
            <w:tcW w:w="3402" w:type="dxa"/>
          </w:tcPr>
          <w:p w14:paraId="5EF3766A" w14:textId="77777777" w:rsidR="006B4A9F" w:rsidRDefault="006B4A9F" w:rsidP="00402C3A">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3D129B2C" w14:textId="77777777" w:rsidR="006B4A9F" w:rsidRPr="00226A97" w:rsidRDefault="006B4A9F" w:rsidP="00402C3A">
            <w:pPr>
              <w:shd w:val="solid" w:color="FFFFFF" w:fill="FFFFFF"/>
              <w:spacing w:line="240" w:lineRule="atLeast"/>
              <w:rPr>
                <w:rFonts w:ascii="Verdana" w:eastAsia="SimSun" w:hAnsi="Verdana"/>
                <w:sz w:val="20"/>
                <w:lang w:eastAsia="zh-CN"/>
              </w:rPr>
            </w:pPr>
          </w:p>
        </w:tc>
      </w:tr>
      <w:tr w:rsidR="006B4A9F" w14:paraId="17C23992" w14:textId="77777777" w:rsidTr="00402C3A">
        <w:trPr>
          <w:cantSplit/>
        </w:trPr>
        <w:tc>
          <w:tcPr>
            <w:tcW w:w="9889" w:type="dxa"/>
            <w:gridSpan w:val="2"/>
          </w:tcPr>
          <w:p w14:paraId="27D0FE8D" w14:textId="77777777" w:rsidR="006B4A9F" w:rsidRDefault="006B4A9F" w:rsidP="00402C3A">
            <w:pPr>
              <w:pStyle w:val="Source"/>
              <w:rPr>
                <w:lang w:eastAsia="zh-CN"/>
              </w:rPr>
            </w:pPr>
            <w:r w:rsidRPr="00BE13E4">
              <w:rPr>
                <w:lang w:eastAsia="zh-CN"/>
              </w:rPr>
              <w:t>United States of America</w:t>
            </w:r>
          </w:p>
        </w:tc>
      </w:tr>
      <w:tr w:rsidR="006B4A9F" w14:paraId="2ED1155F" w14:textId="77777777" w:rsidTr="00402C3A">
        <w:trPr>
          <w:cantSplit/>
        </w:trPr>
        <w:tc>
          <w:tcPr>
            <w:tcW w:w="9889" w:type="dxa"/>
            <w:gridSpan w:val="2"/>
          </w:tcPr>
          <w:p w14:paraId="1127616C" w14:textId="76900E3C" w:rsidR="006B4A9F" w:rsidRDefault="006B4A9F" w:rsidP="00402C3A">
            <w:pPr>
              <w:pStyle w:val="Title1"/>
              <w:rPr>
                <w:lang w:eastAsia="zh-CN"/>
              </w:rPr>
            </w:pPr>
            <w:r>
              <w:rPr>
                <w:lang w:val="en-US" w:eastAsia="zh-CN"/>
              </w:rPr>
              <w:t xml:space="preserve">PROPOSAL TO INITIATE WORK UNDER RESOLUTION </w:t>
            </w:r>
            <w:r w:rsidRPr="0065335C">
              <w:rPr>
                <w:b/>
                <w:lang w:val="en-US" w:eastAsia="zh-CN"/>
              </w:rPr>
              <w:t>731</w:t>
            </w:r>
            <w:r w:rsidR="00432382" w:rsidRPr="0065335C">
              <w:rPr>
                <w:b/>
                <w:lang w:val="en-US" w:eastAsia="zh-CN"/>
              </w:rPr>
              <w:t xml:space="preserve"> (REV. WRC-19)</w:t>
            </w:r>
          </w:p>
        </w:tc>
      </w:tr>
      <w:tr w:rsidR="006B4A9F" w14:paraId="4144BBDC" w14:textId="77777777" w:rsidTr="00402C3A">
        <w:trPr>
          <w:cantSplit/>
        </w:trPr>
        <w:tc>
          <w:tcPr>
            <w:tcW w:w="9889" w:type="dxa"/>
            <w:gridSpan w:val="2"/>
          </w:tcPr>
          <w:p w14:paraId="262DACA3" w14:textId="77777777" w:rsidR="006B4A9F" w:rsidRDefault="006B4A9F" w:rsidP="00402C3A">
            <w:pPr>
              <w:pStyle w:val="Title1"/>
              <w:rPr>
                <w:lang w:eastAsia="zh-CN"/>
              </w:rPr>
            </w:pPr>
          </w:p>
        </w:tc>
      </w:tr>
    </w:tbl>
    <w:p w14:paraId="4BDD535D" w14:textId="77777777" w:rsidR="006B4A9F" w:rsidRPr="00FF6AD4" w:rsidRDefault="006B4A9F" w:rsidP="0065335C">
      <w:pPr>
        <w:spacing w:before="120"/>
        <w:rPr>
          <w:b/>
          <w:bCs/>
          <w:lang w:eastAsia="ja-JP"/>
        </w:rPr>
      </w:pPr>
      <w:r>
        <w:rPr>
          <w:b/>
          <w:bCs/>
          <w:lang w:eastAsia="ja-JP"/>
        </w:rPr>
        <w:t>Introduction</w:t>
      </w:r>
      <w:r w:rsidRPr="00FF6AD4">
        <w:rPr>
          <w:b/>
          <w:bCs/>
          <w:lang w:eastAsia="ja-JP"/>
        </w:rPr>
        <w:t xml:space="preserve"> </w:t>
      </w:r>
    </w:p>
    <w:p w14:paraId="04D3E769" w14:textId="5D06B04F" w:rsidR="006B4A9F" w:rsidRDefault="006B4A9F" w:rsidP="0065335C">
      <w:pPr>
        <w:spacing w:before="120"/>
        <w:rPr>
          <w:bCs/>
          <w:lang w:eastAsia="ja-JP"/>
        </w:rPr>
      </w:pPr>
      <w:r w:rsidRPr="005C5114">
        <w:rPr>
          <w:bCs/>
          <w:lang w:eastAsia="ja-JP"/>
        </w:rPr>
        <w:t xml:space="preserve">Resolution </w:t>
      </w:r>
      <w:r w:rsidRPr="0065335C">
        <w:rPr>
          <w:b/>
          <w:bCs/>
          <w:lang w:eastAsia="ja-JP"/>
        </w:rPr>
        <w:t xml:space="preserve">731 </w:t>
      </w:r>
      <w:r w:rsidR="00432382" w:rsidRPr="0065335C">
        <w:rPr>
          <w:b/>
          <w:bCs/>
          <w:lang w:eastAsia="ja-JP"/>
        </w:rPr>
        <w:t>(Rev. WRC-19)</w:t>
      </w:r>
      <w:r w:rsidR="00432382">
        <w:rPr>
          <w:bCs/>
          <w:lang w:eastAsia="ja-JP"/>
        </w:rPr>
        <w:t xml:space="preserve"> </w:t>
      </w:r>
      <w:r w:rsidRPr="005C5114">
        <w:rPr>
          <w:bCs/>
          <w:lang w:eastAsia="ja-JP"/>
        </w:rPr>
        <w:t>addresses issues of sharing and adjacent-band compatibility between passive and active services above 71 GHz.</w:t>
      </w:r>
      <w:r>
        <w:rPr>
          <w:rStyle w:val="FootnoteReference"/>
          <w:bCs/>
          <w:lang w:eastAsia="ja-JP"/>
        </w:rPr>
        <w:footnoteReference w:id="1"/>
      </w:r>
      <w:r w:rsidRPr="005C5114">
        <w:rPr>
          <w:bCs/>
          <w:lang w:eastAsia="ja-JP"/>
        </w:rPr>
        <w:t xml:space="preserve">   </w:t>
      </w:r>
    </w:p>
    <w:p w14:paraId="50616BB4" w14:textId="77777777" w:rsidR="006B4A9F" w:rsidRDefault="006B4A9F" w:rsidP="0065335C">
      <w:pPr>
        <w:spacing w:before="120"/>
        <w:rPr>
          <w:bCs/>
          <w:lang w:eastAsia="ja-JP"/>
        </w:rPr>
      </w:pPr>
      <w:r>
        <w:rPr>
          <w:bCs/>
          <w:lang w:eastAsia="ja-JP"/>
        </w:rPr>
        <w:t>The Resolution</w:t>
      </w:r>
      <w:r w:rsidRPr="00D01F67">
        <w:rPr>
          <w:bCs/>
          <w:lang w:eastAsia="ja-JP"/>
        </w:rPr>
        <w:t xml:space="preserve"> </w:t>
      </w:r>
      <w:r>
        <w:rPr>
          <w:bCs/>
          <w:lang w:eastAsia="ja-JP"/>
        </w:rPr>
        <w:t>invites the</w:t>
      </w:r>
      <w:r w:rsidRPr="00D01F67">
        <w:rPr>
          <w:bCs/>
          <w:lang w:eastAsia="ja-JP"/>
        </w:rPr>
        <w:t xml:space="preserve"> ITU-R</w:t>
      </w:r>
      <w:r>
        <w:rPr>
          <w:bCs/>
          <w:lang w:eastAsia="ja-JP"/>
        </w:rPr>
        <w:t xml:space="preserve">: </w:t>
      </w:r>
      <w:r w:rsidRPr="00D01F67">
        <w:rPr>
          <w:bCs/>
          <w:lang w:eastAsia="ja-JP"/>
        </w:rPr>
        <w:t xml:space="preserve"> </w:t>
      </w:r>
    </w:p>
    <w:p w14:paraId="446DB9F3" w14:textId="77777777" w:rsidR="006B4A9F" w:rsidRPr="005703FC" w:rsidRDefault="006B4A9F" w:rsidP="0065335C">
      <w:pPr>
        <w:tabs>
          <w:tab w:val="left" w:pos="1134"/>
          <w:tab w:val="left" w:pos="1871"/>
          <w:tab w:val="left" w:pos="2268"/>
        </w:tabs>
        <w:overflowPunct w:val="0"/>
        <w:autoSpaceDE w:val="0"/>
        <w:autoSpaceDN w:val="0"/>
        <w:adjustRightInd w:val="0"/>
        <w:spacing w:before="120"/>
        <w:ind w:left="1152" w:hanging="432"/>
        <w:jc w:val="both"/>
        <w:textAlignment w:val="baseline"/>
        <w:rPr>
          <w:szCs w:val="20"/>
          <w:lang w:val="en-GB"/>
        </w:rPr>
      </w:pPr>
      <w:r w:rsidRPr="005703FC">
        <w:rPr>
          <w:szCs w:val="20"/>
          <w:lang w:val="en-GB"/>
        </w:rPr>
        <w:t>1</w:t>
      </w:r>
      <w:r w:rsidRPr="005703FC">
        <w:rPr>
          <w:szCs w:val="20"/>
          <w:lang w:val="en-GB"/>
        </w:rPr>
        <w:tab/>
        <w:t xml:space="preserve">to continue its studies to determine if and under what conditions sharing is possible between active and passive services in the </w:t>
      </w:r>
      <w:r w:rsidRPr="005703FC">
        <w:rPr>
          <w:color w:val="000000"/>
          <w:szCs w:val="20"/>
          <w:lang w:val="en-GB"/>
        </w:rPr>
        <w:t xml:space="preserve">frequency </w:t>
      </w:r>
      <w:r w:rsidRPr="005703FC">
        <w:rPr>
          <w:szCs w:val="20"/>
          <w:lang w:val="en-GB"/>
        </w:rPr>
        <w:t>bands above 71 GHz, such as, but not limited to, 100</w:t>
      </w:r>
      <w:r w:rsidRPr="005703FC">
        <w:rPr>
          <w:szCs w:val="20"/>
          <w:lang w:val="en-GB"/>
        </w:rPr>
        <w:noBreakHyphen/>
        <w:t>102 GHz, 116</w:t>
      </w:r>
      <w:r w:rsidRPr="005703FC">
        <w:rPr>
          <w:szCs w:val="20"/>
          <w:lang w:val="en-GB"/>
        </w:rPr>
        <w:noBreakHyphen/>
        <w:t>122.25 GHz, 148.5</w:t>
      </w:r>
      <w:r w:rsidRPr="005703FC">
        <w:rPr>
          <w:szCs w:val="20"/>
          <w:lang w:val="en-GB"/>
        </w:rPr>
        <w:noBreakHyphen/>
        <w:t>151.5 GHz, 174.8</w:t>
      </w:r>
      <w:r w:rsidRPr="005703FC">
        <w:rPr>
          <w:szCs w:val="20"/>
          <w:lang w:val="en-GB"/>
        </w:rPr>
        <w:noBreakHyphen/>
        <w:t>191.8 GHz, 226</w:t>
      </w:r>
      <w:r w:rsidRPr="005703FC">
        <w:rPr>
          <w:szCs w:val="20"/>
          <w:lang w:val="en-GB"/>
        </w:rPr>
        <w:noBreakHyphen/>
        <w:t>231.5 GHz and 235</w:t>
      </w:r>
      <w:r w:rsidRPr="005703FC">
        <w:rPr>
          <w:szCs w:val="20"/>
          <w:lang w:val="en-GB"/>
        </w:rPr>
        <w:noBreakHyphen/>
        <w:t>238 GHz;</w:t>
      </w:r>
    </w:p>
    <w:p w14:paraId="408365C9" w14:textId="77777777" w:rsidR="006B4A9F" w:rsidRPr="009D6F7E" w:rsidRDefault="006B4A9F" w:rsidP="0065335C">
      <w:pPr>
        <w:spacing w:before="120"/>
        <w:rPr>
          <w:b/>
          <w:bCs/>
          <w:lang w:eastAsia="ja-JP"/>
        </w:rPr>
      </w:pPr>
      <w:r w:rsidRPr="009D6F7E">
        <w:rPr>
          <w:b/>
          <w:bCs/>
          <w:lang w:eastAsia="ja-JP"/>
        </w:rPr>
        <w:t>Discussion</w:t>
      </w:r>
    </w:p>
    <w:p w14:paraId="0BE4A6F1" w14:textId="77777777" w:rsidR="006B4A9F" w:rsidRPr="009D6F7E" w:rsidRDefault="006B4A9F" w:rsidP="0065335C">
      <w:pPr>
        <w:spacing w:before="120"/>
        <w:rPr>
          <w:bCs/>
          <w:lang w:eastAsia="ja-JP"/>
        </w:rPr>
      </w:pPr>
      <w:r w:rsidRPr="009D6F7E">
        <w:rPr>
          <w:bCs/>
          <w:lang w:eastAsia="ja-JP"/>
        </w:rPr>
        <w:t xml:space="preserve">This work will begin to determine if and under what conditions sharing is possible between the </w:t>
      </w:r>
      <w:r w:rsidRPr="00345F8D">
        <w:rPr>
          <w:bCs/>
          <w:lang w:eastAsia="ja-JP"/>
        </w:rPr>
        <w:t>ground-based</w:t>
      </w:r>
      <w:r w:rsidRPr="009D6F7E">
        <w:rPr>
          <w:bCs/>
          <w:lang w:eastAsia="ja-JP"/>
        </w:rPr>
        <w:t xml:space="preserve"> fixed service and passive services in the frequency bands above 71 GHz as invited in Resolution </w:t>
      </w:r>
      <w:r w:rsidRPr="0065335C">
        <w:rPr>
          <w:b/>
          <w:bCs/>
          <w:lang w:eastAsia="ja-JP"/>
        </w:rPr>
        <w:t>731</w:t>
      </w:r>
      <w:r w:rsidRPr="009D6F7E">
        <w:rPr>
          <w:bCs/>
          <w:lang w:eastAsia="ja-JP"/>
        </w:rPr>
        <w:t xml:space="preserve">.  </w:t>
      </w:r>
      <w:r w:rsidRPr="00345F8D">
        <w:rPr>
          <w:bCs/>
          <w:lang w:eastAsia="ja-JP"/>
        </w:rPr>
        <w:t xml:space="preserve">Sharing with the Radio astronomy (RAS) may be accomplished in a straightforward manner by determination of geographic exclusion and coordination zones based on the atmospheric characteristics of the RAS geographic site, aggregate interference, and the frequency under consideration.  </w:t>
      </w:r>
      <w:r w:rsidRPr="009D6F7E">
        <w:rPr>
          <w:bCs/>
          <w:lang w:eastAsia="ja-JP"/>
        </w:rPr>
        <w:t xml:space="preserve">The most difficult sharing issues, both from a technical and regulatory perspective, involve protecting </w:t>
      </w:r>
      <w:bookmarkStart w:id="1" w:name="_Hlk54001896"/>
      <w:r w:rsidRPr="00345F8D">
        <w:rPr>
          <w:bCs/>
          <w:lang w:eastAsia="ja-JP"/>
        </w:rPr>
        <w:t xml:space="preserve">earth exploration-satellite service </w:t>
      </w:r>
      <w:bookmarkEnd w:id="1"/>
      <w:r w:rsidRPr="00345F8D">
        <w:rPr>
          <w:bCs/>
          <w:lang w:eastAsia="ja-JP"/>
        </w:rPr>
        <w:t>(</w:t>
      </w:r>
      <w:r w:rsidRPr="009D6F7E">
        <w:rPr>
          <w:bCs/>
          <w:lang w:eastAsia="ja-JP"/>
        </w:rPr>
        <w:t>EESS</w:t>
      </w:r>
      <w:r w:rsidRPr="00345F8D">
        <w:rPr>
          <w:bCs/>
          <w:lang w:eastAsia="ja-JP"/>
        </w:rPr>
        <w:t>)</w:t>
      </w:r>
      <w:r w:rsidRPr="009D6F7E">
        <w:rPr>
          <w:bCs/>
          <w:lang w:eastAsia="ja-JP"/>
        </w:rPr>
        <w:t xml:space="preserve"> (passive) use in bands listed in RR No. </w:t>
      </w:r>
      <w:r w:rsidRPr="009D6F7E">
        <w:rPr>
          <w:b/>
          <w:lang w:eastAsia="ja-JP"/>
        </w:rPr>
        <w:t>5.340</w:t>
      </w:r>
      <w:r w:rsidRPr="009D6F7E">
        <w:rPr>
          <w:bCs/>
          <w:lang w:eastAsia="ja-JP"/>
        </w:rPr>
        <w:t xml:space="preserve">.  </w:t>
      </w:r>
    </w:p>
    <w:p w14:paraId="5DE513A3" w14:textId="77777777" w:rsidR="006B4A9F" w:rsidRPr="009D6F7E" w:rsidRDefault="006B4A9F" w:rsidP="0065335C">
      <w:pPr>
        <w:spacing w:before="120"/>
        <w:rPr>
          <w:bCs/>
          <w:lang w:eastAsia="ja-JP"/>
        </w:rPr>
      </w:pPr>
      <w:r w:rsidRPr="009D6F7E">
        <w:rPr>
          <w:bCs/>
          <w:lang w:eastAsia="ja-JP"/>
        </w:rPr>
        <w:t xml:space="preserve">RAS receiver sites at frequencies above 71 GHz tend to be in </w:t>
      </w:r>
      <w:r w:rsidRPr="00345F8D">
        <w:rPr>
          <w:bCs/>
          <w:lang w:eastAsia="ja-JP"/>
        </w:rPr>
        <w:t>remote locations and</w:t>
      </w:r>
      <w:r w:rsidRPr="009D6F7E">
        <w:rPr>
          <w:bCs/>
          <w:lang w:eastAsia="ja-JP"/>
        </w:rPr>
        <w:t xml:space="preserve"> high-altitude </w:t>
      </w:r>
      <w:r w:rsidRPr="00345F8D">
        <w:rPr>
          <w:bCs/>
          <w:lang w:eastAsia="ja-JP"/>
        </w:rPr>
        <w:t>and/or</w:t>
      </w:r>
      <w:r w:rsidRPr="009D6F7E">
        <w:rPr>
          <w:bCs/>
          <w:lang w:eastAsia="ja-JP"/>
        </w:rPr>
        <w:t xml:space="preserve"> arid sites in order to </w:t>
      </w:r>
      <w:r w:rsidRPr="00345F8D">
        <w:rPr>
          <w:bCs/>
          <w:lang w:eastAsia="ja-JP"/>
        </w:rPr>
        <w:t>reduce the impact of terrestrial-based interference and</w:t>
      </w:r>
      <w:r w:rsidRPr="009D6F7E">
        <w:rPr>
          <w:bCs/>
          <w:lang w:eastAsia="ja-JP"/>
        </w:rPr>
        <w:t xml:space="preserve"> </w:t>
      </w:r>
      <w:r w:rsidRPr="00345F8D">
        <w:rPr>
          <w:bCs/>
          <w:lang w:eastAsia="ja-JP"/>
        </w:rPr>
        <w:t>decrease</w:t>
      </w:r>
      <w:r w:rsidRPr="009D6F7E">
        <w:rPr>
          <w:bCs/>
          <w:lang w:eastAsia="ja-JP"/>
        </w:rPr>
        <w:t xml:space="preserve"> atmospheric absorption at these frequencies.  </w:t>
      </w:r>
      <w:r w:rsidRPr="00345F8D">
        <w:rPr>
          <w:bCs/>
          <w:lang w:eastAsia="ja-JP"/>
        </w:rPr>
        <w:t>However, the selection of high-altitude and/or arid sites, leading to lower atmospheric absorption, also increases the susceptibility of these sites to interference as attenuation decreases (e.g., see variations in attenuation between sea level, 3km and 5km for frequencies above 275 GHz in Report ITU-R RA.2189-1</w:t>
      </w:r>
      <w:r w:rsidRPr="00345F8D">
        <w:rPr>
          <w:rStyle w:val="FootnoteReference"/>
          <w:bCs/>
          <w:lang w:eastAsia="ja-JP"/>
        </w:rPr>
        <w:footnoteReference w:id="2"/>
      </w:r>
      <w:r w:rsidRPr="00345F8D">
        <w:rPr>
          <w:bCs/>
          <w:lang w:eastAsia="ja-JP"/>
        </w:rPr>
        <w:t>). T</w:t>
      </w:r>
      <w:r w:rsidRPr="009D6F7E">
        <w:rPr>
          <w:bCs/>
          <w:lang w:eastAsia="ja-JP"/>
        </w:rPr>
        <w:t xml:space="preserve">he coordination approach of </w:t>
      </w:r>
      <w:r w:rsidRPr="00345F8D">
        <w:rPr>
          <w:bCs/>
          <w:lang w:eastAsia="ja-JP"/>
        </w:rPr>
        <w:t>Recommendation</w:t>
      </w:r>
      <w:r w:rsidRPr="009D6F7E">
        <w:rPr>
          <w:bCs/>
          <w:lang w:eastAsia="ja-JP"/>
        </w:rPr>
        <w:t xml:space="preserve"> ITU-R  RA.1031-2</w:t>
      </w:r>
      <w:r w:rsidRPr="00345F8D">
        <w:rPr>
          <w:bCs/>
          <w:lang w:eastAsia="ja-JP"/>
        </w:rPr>
        <w:t xml:space="preserve">  discusses</w:t>
      </w:r>
      <w:r w:rsidRPr="009D6F7E">
        <w:rPr>
          <w:bCs/>
          <w:lang w:eastAsia="ja-JP"/>
        </w:rPr>
        <w:t xml:space="preserve"> protect</w:t>
      </w:r>
      <w:r w:rsidRPr="00345F8D">
        <w:rPr>
          <w:bCs/>
          <w:lang w:eastAsia="ja-JP"/>
        </w:rPr>
        <w:t>ion of</w:t>
      </w:r>
      <w:r w:rsidRPr="009D6F7E">
        <w:rPr>
          <w:bCs/>
          <w:lang w:eastAsia="ja-JP"/>
        </w:rPr>
        <w:t xml:space="preserve"> RAS receivers in bands where sharing may be </w:t>
      </w:r>
      <w:r w:rsidRPr="00345F8D">
        <w:rPr>
          <w:bCs/>
          <w:lang w:eastAsia="ja-JP"/>
        </w:rPr>
        <w:t>possible via the establishment of coordination zones around RAS stations, though it only addresses frequencies up to 40 GHz in Figures 1 and 2.  To determine whether sharing is possible and under what conditions, the aforementioned Report and</w:t>
      </w:r>
      <w:r w:rsidRPr="009D6F7E">
        <w:rPr>
          <w:bCs/>
          <w:lang w:eastAsia="ja-JP"/>
        </w:rPr>
        <w:t xml:space="preserve"> </w:t>
      </w:r>
      <w:r w:rsidRPr="00345F8D">
        <w:rPr>
          <w:bCs/>
          <w:lang w:eastAsia="ja-JP"/>
        </w:rPr>
        <w:t>Recommendation would need to be revised to include the frequency range 71 – 275 GHz, or a new Report/Recommendation should be developed by WP 7D.</w:t>
      </w:r>
    </w:p>
    <w:p w14:paraId="382F34E0" w14:textId="1366206F" w:rsidR="006B4A9F" w:rsidRPr="009D6F7E" w:rsidRDefault="006B4A9F" w:rsidP="0065335C">
      <w:pPr>
        <w:spacing w:before="120"/>
        <w:rPr>
          <w:bCs/>
          <w:lang w:eastAsia="ja-JP"/>
        </w:rPr>
      </w:pPr>
      <w:r w:rsidRPr="009D6F7E">
        <w:rPr>
          <w:bCs/>
          <w:lang w:eastAsia="ja-JP"/>
        </w:rPr>
        <w:t>EESS (passive) protection is complex because these passive satellites operate globally, have antennas pointing either tangential to the orbit or pointed towards the Earth’s surface taking measurements over the entire Earth’s surface and regularly performing critical meteorological and environmental measurements, usually from low altitude orbits.  F</w:t>
      </w:r>
      <w:r w:rsidR="0065335C">
        <w:rPr>
          <w:bCs/>
          <w:lang w:eastAsia="ja-JP"/>
        </w:rPr>
        <w:t>ixed</w:t>
      </w:r>
      <w:r w:rsidRPr="009D6F7E">
        <w:rPr>
          <w:bCs/>
          <w:lang w:eastAsia="ja-JP"/>
        </w:rPr>
        <w:t xml:space="preserve"> service communications is the primary focus for consideration for this work at this time as its fixed geometry and usually non-active antennas may present a less complex sharing scenario when compared to any M</w:t>
      </w:r>
      <w:r w:rsidR="0065335C">
        <w:rPr>
          <w:bCs/>
          <w:lang w:eastAsia="ja-JP"/>
        </w:rPr>
        <w:t>obile</w:t>
      </w:r>
      <w:r w:rsidRPr="009D6F7E">
        <w:rPr>
          <w:bCs/>
          <w:lang w:eastAsia="ja-JP"/>
        </w:rPr>
        <w:t xml:space="preserve"> service application.    F</w:t>
      </w:r>
      <w:r w:rsidR="0065335C">
        <w:rPr>
          <w:bCs/>
          <w:lang w:eastAsia="ja-JP"/>
        </w:rPr>
        <w:t>ixed</w:t>
      </w:r>
      <w:r w:rsidRPr="009D6F7E">
        <w:rPr>
          <w:bCs/>
          <w:lang w:eastAsia="ja-JP"/>
        </w:rPr>
        <w:t xml:space="preserve"> systems above 71 GHz have the potential for quick deployment (compared to wired/fiber links) for paths with a distance of a few km as well as lower costs in places with difficult terrain for wired installations, requirements for temporary high-bandwidth restoration links and other short term connectivity needs. While RR No. </w:t>
      </w:r>
      <w:r w:rsidRPr="0065335C">
        <w:rPr>
          <w:b/>
          <w:bCs/>
          <w:lang w:eastAsia="ja-JP"/>
        </w:rPr>
        <w:t>5.340</w:t>
      </w:r>
      <w:r w:rsidRPr="009D6F7E">
        <w:rPr>
          <w:bCs/>
          <w:lang w:eastAsia="ja-JP"/>
        </w:rPr>
        <w:t xml:space="preserve"> bands individually have bandwidth</w:t>
      </w:r>
      <w:r>
        <w:rPr>
          <w:bCs/>
          <w:lang w:eastAsia="ja-JP"/>
        </w:rPr>
        <w:t>s</w:t>
      </w:r>
      <w:r w:rsidRPr="009D6F7E">
        <w:rPr>
          <w:bCs/>
          <w:lang w:eastAsia="ja-JP"/>
        </w:rPr>
        <w:t xml:space="preserve"> of a few GHz, the locations of the 11 such bands in 71-275 GHz limit the ability to create large contiguous blocks of spectrum for use by active services unless a sharing environment can be created to ensure the protection of the passive operations.    </w:t>
      </w:r>
    </w:p>
    <w:p w14:paraId="060C34FE" w14:textId="03A4A066" w:rsidR="006B4A9F" w:rsidRPr="009D6F7E" w:rsidRDefault="006B4A9F" w:rsidP="0065335C">
      <w:pPr>
        <w:spacing w:before="120"/>
        <w:rPr>
          <w:bCs/>
          <w:lang w:eastAsia="ja-JP"/>
        </w:rPr>
      </w:pPr>
      <w:r w:rsidRPr="009D6F7E">
        <w:rPr>
          <w:bCs/>
          <w:lang w:eastAsia="ja-JP"/>
        </w:rPr>
        <w:t>Protection of RAS and EESS (passive</w:t>
      </w:r>
      <w:r>
        <w:rPr>
          <w:bCs/>
          <w:lang w:eastAsia="ja-JP"/>
        </w:rPr>
        <w:t>)</w:t>
      </w:r>
      <w:r w:rsidRPr="009D6F7E">
        <w:rPr>
          <w:bCs/>
          <w:lang w:eastAsia="ja-JP"/>
        </w:rPr>
        <w:t xml:space="preserve"> systems is especially critical for RR No. </w:t>
      </w:r>
      <w:r w:rsidRPr="0065335C">
        <w:rPr>
          <w:b/>
          <w:bCs/>
          <w:lang w:eastAsia="ja-JP"/>
        </w:rPr>
        <w:t>5.340</w:t>
      </w:r>
      <w:r w:rsidRPr="009D6F7E">
        <w:rPr>
          <w:bCs/>
          <w:lang w:eastAsia="ja-JP"/>
        </w:rPr>
        <w:t xml:space="preserve"> bands where no emissions are allowed.    Assembling defined fixed service system characteristics and passive sensor characteristics and protection criteria are an important first step in beginning this work to determine the feasibility of interference-free sharing and the possibility of what specific conditions could be established to enable the sharing of these frequency bands by active and passive services, noting, as outlined in Resolution </w:t>
      </w:r>
      <w:r w:rsidRPr="00345F8D">
        <w:rPr>
          <w:b/>
          <w:bCs/>
          <w:lang w:eastAsia="ja-JP"/>
        </w:rPr>
        <w:t>731</w:t>
      </w:r>
      <w:r w:rsidRPr="009D6F7E">
        <w:rPr>
          <w:bCs/>
          <w:lang w:eastAsia="ja-JP"/>
        </w:rPr>
        <w:t xml:space="preserve"> (</w:t>
      </w:r>
      <w:r w:rsidR="00E62425">
        <w:rPr>
          <w:bCs/>
          <w:lang w:eastAsia="ja-JP"/>
        </w:rPr>
        <w:t xml:space="preserve">Rev. </w:t>
      </w:r>
      <w:r w:rsidRPr="009D6F7E">
        <w:rPr>
          <w:bCs/>
          <w:lang w:eastAsia="ja-JP"/>
        </w:rPr>
        <w:t xml:space="preserve">WRC-19) the principles of burden-sharing to the extent practicable in the studies.  </w:t>
      </w:r>
    </w:p>
    <w:p w14:paraId="1D59AFEB" w14:textId="568E8EB5" w:rsidR="006B4A9F" w:rsidRDefault="006B4A9F" w:rsidP="0065335C">
      <w:pPr>
        <w:spacing w:before="120"/>
        <w:rPr>
          <w:bCs/>
          <w:lang w:eastAsia="ja-JP"/>
        </w:rPr>
      </w:pPr>
      <w:r w:rsidRPr="009D6F7E">
        <w:rPr>
          <w:bCs/>
          <w:lang w:eastAsia="ja-JP"/>
        </w:rPr>
        <w:t xml:space="preserve">Sharing above 71 GHz raises different technical issues than in the lower passive bands.   Above 71 GHz atmospheric absorption is a key factor, and thus overall propagation loss, can vary greatly with respect to frequency and elevation angle.    </w:t>
      </w:r>
      <w:r w:rsidR="00CF0386" w:rsidRPr="009D6F7E">
        <w:rPr>
          <w:bCs/>
          <w:lang w:eastAsia="ja-JP"/>
        </w:rPr>
        <w:t>Thus,</w:t>
      </w:r>
      <w:r w:rsidRPr="009D6F7E">
        <w:rPr>
          <w:bCs/>
          <w:lang w:eastAsia="ja-JP"/>
        </w:rPr>
        <w:t xml:space="preserve"> a method has to be found to limit </w:t>
      </w:r>
      <w:r>
        <w:rPr>
          <w:bCs/>
          <w:lang w:eastAsia="ja-JP"/>
        </w:rPr>
        <w:t>F</w:t>
      </w:r>
      <w:r w:rsidR="0065335C">
        <w:rPr>
          <w:bCs/>
          <w:lang w:eastAsia="ja-JP"/>
        </w:rPr>
        <w:t>ixed</w:t>
      </w:r>
      <w:r>
        <w:rPr>
          <w:bCs/>
          <w:lang w:eastAsia="ja-JP"/>
        </w:rPr>
        <w:t xml:space="preserve"> emissions to levels that do not cause harmful interference to RAS and EESS (passive) systems.  </w:t>
      </w:r>
      <w:r w:rsidRPr="009D6F7E">
        <w:rPr>
          <w:bCs/>
        </w:rPr>
        <w:t xml:space="preserve">Resolution </w:t>
      </w:r>
      <w:r w:rsidRPr="0065335C">
        <w:rPr>
          <w:b/>
          <w:bCs/>
        </w:rPr>
        <w:t>731 (</w:t>
      </w:r>
      <w:r w:rsidR="00E62425" w:rsidRPr="0065335C">
        <w:rPr>
          <w:b/>
          <w:bCs/>
        </w:rPr>
        <w:t xml:space="preserve">Rev. </w:t>
      </w:r>
      <w:r w:rsidRPr="0065335C">
        <w:rPr>
          <w:b/>
          <w:bCs/>
        </w:rPr>
        <w:t>WRC-19)</w:t>
      </w:r>
      <w:r>
        <w:rPr>
          <w:bCs/>
        </w:rPr>
        <w:t xml:space="preserve"> cites existing ITU-R recommendations for the required protection levels.</w:t>
      </w:r>
    </w:p>
    <w:p w14:paraId="14BE9454" w14:textId="32A41004" w:rsidR="006B4A9F" w:rsidRPr="009D6F7E" w:rsidRDefault="006B4A9F" w:rsidP="0065335C">
      <w:pPr>
        <w:spacing w:before="120"/>
        <w:rPr>
          <w:bCs/>
          <w:lang w:eastAsia="ja-JP"/>
        </w:rPr>
      </w:pPr>
      <w:r w:rsidRPr="009D6F7E">
        <w:rPr>
          <w:bCs/>
          <w:lang w:eastAsia="ja-JP"/>
        </w:rPr>
        <w:t>Initial studies may consider addressing sharing by the development of appropriate EIRP limits for emissions at various elevation angles for F</w:t>
      </w:r>
      <w:r w:rsidR="0065335C">
        <w:rPr>
          <w:bCs/>
          <w:lang w:eastAsia="ja-JP"/>
        </w:rPr>
        <w:t>ixed</w:t>
      </w:r>
      <w:r w:rsidRPr="009D6F7E">
        <w:rPr>
          <w:bCs/>
          <w:lang w:eastAsia="ja-JP"/>
        </w:rPr>
        <w:t xml:space="preserve"> service transmitters operating in </w:t>
      </w:r>
      <w:r>
        <w:rPr>
          <w:bCs/>
          <w:lang w:eastAsia="ja-JP"/>
        </w:rPr>
        <w:t>or near passive bands</w:t>
      </w:r>
      <w:r w:rsidRPr="009D6F7E">
        <w:rPr>
          <w:bCs/>
          <w:lang w:eastAsia="ja-JP"/>
        </w:rPr>
        <w:t>. It should also be noted that, due to the spacecraft altitude, passive sensors operating in these bands have a large field-of-view and are highly sensitive to the aggregation effects from multiple interferers. Thus</w:t>
      </w:r>
      <w:r w:rsidR="00CF0386">
        <w:rPr>
          <w:bCs/>
          <w:lang w:eastAsia="ja-JP"/>
        </w:rPr>
        <w:t>,</w:t>
      </w:r>
      <w:r w:rsidRPr="009D6F7E">
        <w:rPr>
          <w:bCs/>
          <w:lang w:eastAsia="ja-JP"/>
        </w:rPr>
        <w:t xml:space="preserve"> a method has to be found to prevent interference to EESS (passive) systems from aggregated interference.  On possible approach would be to limit the geographic density of F</w:t>
      </w:r>
      <w:r w:rsidR="0057152D">
        <w:rPr>
          <w:bCs/>
          <w:lang w:eastAsia="ja-JP"/>
        </w:rPr>
        <w:t>ixed</w:t>
      </w:r>
      <w:r w:rsidRPr="009D6F7E">
        <w:rPr>
          <w:bCs/>
          <w:lang w:eastAsia="ja-JP"/>
        </w:rPr>
        <w:t xml:space="preserve"> transmitters.</w:t>
      </w:r>
    </w:p>
    <w:p w14:paraId="6E4D18B4" w14:textId="43AA64B2" w:rsidR="006B4A9F" w:rsidRPr="009D6F7E" w:rsidRDefault="006B4A9F" w:rsidP="0065335C">
      <w:pPr>
        <w:spacing w:before="120"/>
        <w:rPr>
          <w:bCs/>
          <w:lang w:eastAsia="ja-JP"/>
        </w:rPr>
      </w:pPr>
      <w:r w:rsidRPr="009D6F7E">
        <w:rPr>
          <w:bCs/>
          <w:lang w:eastAsia="ja-JP"/>
        </w:rPr>
        <w:t>As noted above, F</w:t>
      </w:r>
      <w:r w:rsidR="0057152D">
        <w:rPr>
          <w:bCs/>
          <w:lang w:eastAsia="ja-JP"/>
        </w:rPr>
        <w:t>ixed</w:t>
      </w:r>
      <w:r w:rsidRPr="009D6F7E">
        <w:rPr>
          <w:bCs/>
          <w:lang w:eastAsia="ja-JP"/>
        </w:rPr>
        <w:t xml:space="preserve"> service systems generally have low elevation angles, so main beam illumination of EESS receivers by the direct signal path </w:t>
      </w:r>
      <w:r>
        <w:rPr>
          <w:bCs/>
          <w:lang w:eastAsia="ja-JP"/>
        </w:rPr>
        <w:t>results in the signal having significant path loss due to molecular absorption in addition to the usual free space loss.  This high absorption at low elevation angles tends to mitigate the direct path illumination of EESS sensors.  However, o</w:t>
      </w:r>
      <w:r w:rsidRPr="009D6F7E">
        <w:rPr>
          <w:bCs/>
          <w:lang w:eastAsia="ja-JP"/>
        </w:rPr>
        <w:t>ther factors, such as sidelobe illumination and multipath propagation/reflections are possible interference sources.  Consequently, advice from WP 3J and WP 3M is needed on these issues.  Also, while all finite size antennas must have sidelobes for practical reasons, it may be possible to decrease sidelobes at high elevation angles below the typical values generally encountered in today’s F</w:t>
      </w:r>
      <w:r w:rsidR="0057152D">
        <w:rPr>
          <w:bCs/>
          <w:lang w:eastAsia="ja-JP"/>
        </w:rPr>
        <w:t>ixed</w:t>
      </w:r>
      <w:r w:rsidRPr="009D6F7E">
        <w:rPr>
          <w:bCs/>
          <w:lang w:eastAsia="ja-JP"/>
        </w:rPr>
        <w:t xml:space="preserve"> service applications, which were designed in a terrestrial-to-terrestrial sharing environment where such sidelobes were not of concern.  Information could be sought from antenna researchers on the feasibility of such antenna designs. </w:t>
      </w:r>
    </w:p>
    <w:p w14:paraId="1EB9A874" w14:textId="77777777" w:rsidR="006B4A9F" w:rsidRPr="009D6F7E" w:rsidRDefault="006B4A9F" w:rsidP="0065335C">
      <w:pPr>
        <w:spacing w:before="120"/>
        <w:rPr>
          <w:b/>
          <w:bCs/>
          <w:lang w:eastAsia="ja-JP"/>
        </w:rPr>
      </w:pPr>
      <w:r w:rsidRPr="009D6F7E">
        <w:rPr>
          <w:b/>
          <w:bCs/>
          <w:lang w:eastAsia="ja-JP"/>
        </w:rPr>
        <w:t>Proposal</w:t>
      </w:r>
    </w:p>
    <w:p w14:paraId="538035BE" w14:textId="11EC9D82" w:rsidR="006B4A9F" w:rsidRPr="009D6F7E" w:rsidRDefault="006B4A9F" w:rsidP="0065335C">
      <w:pPr>
        <w:spacing w:before="120"/>
        <w:rPr>
          <w:bCs/>
        </w:rPr>
      </w:pPr>
      <w:r w:rsidRPr="009D6F7E">
        <w:rPr>
          <w:bCs/>
        </w:rPr>
        <w:t xml:space="preserve">The United States proposes initiating the studies called for in Resolution </w:t>
      </w:r>
      <w:r w:rsidRPr="0057152D">
        <w:rPr>
          <w:b/>
          <w:bCs/>
        </w:rPr>
        <w:t>731 (</w:t>
      </w:r>
      <w:r w:rsidR="0057152D" w:rsidRPr="0057152D">
        <w:rPr>
          <w:b/>
          <w:bCs/>
        </w:rPr>
        <w:t>Rev.</w:t>
      </w:r>
      <w:r w:rsidRPr="0057152D">
        <w:rPr>
          <w:b/>
          <w:bCs/>
        </w:rPr>
        <w:t>WRC-19)</w:t>
      </w:r>
      <w:r w:rsidRPr="009D6F7E">
        <w:rPr>
          <w:bCs/>
        </w:rPr>
        <w:t xml:space="preserve"> to explore under what conditions for sharing are possible between active and passive services in the frequency bands above 71 GHz.  In order to facilitate this work,  technical studies may consider developing methods for computing the unwanted illumination of EESS (passive) systems by direct-path and/or multipath propagation effects from terrestrial Fixed Service systems with a range of elevation angle paths, based on propagation information and system characteristics that are available or being developed.  If studies show that interference-free sharing will be achieved, then this method could then be used to develop EIRP limits based on Fixed system elevation angle as a possible method to ensure that the aggregate interference from all fixed service usage meets the EESS (passive) protection criteria defined in Rec. ITU-R RS.2017. </w:t>
      </w:r>
    </w:p>
    <w:p w14:paraId="789A9E6D" w14:textId="2550C40D" w:rsidR="006B4A9F" w:rsidRPr="009D6F7E" w:rsidRDefault="006B4A9F" w:rsidP="0065335C">
      <w:pPr>
        <w:spacing w:before="120"/>
        <w:rPr>
          <w:bCs/>
        </w:rPr>
      </w:pPr>
      <w:r w:rsidRPr="009D6F7E">
        <w:rPr>
          <w:bCs/>
        </w:rPr>
        <w:t xml:space="preserve">At this time, the US proposes to evaluate the suitability of this approach considering only systems operating under the Fixed Service.  In order to seek the technical characteristics of the fixed services that could be representative of those operating in various frequency bands above 71 GHz, WP1A is invited to send a liaison statement to WP5C.  In addition, a liaison statement is proposed to WP 3J and 3M on the appropriate </w:t>
      </w:r>
      <w:r w:rsidR="0057152D">
        <w:rPr>
          <w:bCs/>
        </w:rPr>
        <w:t xml:space="preserve">propagation aspects, and WP 7C </w:t>
      </w:r>
      <w:r w:rsidRPr="009D6F7E">
        <w:rPr>
          <w:bCs/>
        </w:rPr>
        <w:t xml:space="preserve">and 7D on the technical, operational and protection criteria of the passive services. </w:t>
      </w:r>
    </w:p>
    <w:p w14:paraId="5EBCA4B8" w14:textId="77777777" w:rsidR="006B4A9F" w:rsidRPr="009D6F7E" w:rsidRDefault="006B4A9F" w:rsidP="0065335C">
      <w:pPr>
        <w:spacing w:before="120"/>
        <w:rPr>
          <w:bCs/>
        </w:rPr>
      </w:pPr>
      <w:r w:rsidRPr="009D6F7E">
        <w:rPr>
          <w:bCs/>
        </w:rPr>
        <w:t>In order to initiate this work, the US proposes requesting characteristics and propagation information from the relevant working parties.  Draft liaison statements are provided for the consideration of WP 1A.</w:t>
      </w:r>
    </w:p>
    <w:p w14:paraId="0085730B" w14:textId="77777777" w:rsidR="0057152D" w:rsidRDefault="0057152D" w:rsidP="0065335C">
      <w:pPr>
        <w:spacing w:before="120"/>
        <w:rPr>
          <w:bCs/>
        </w:rPr>
      </w:pPr>
    </w:p>
    <w:p w14:paraId="0608210E" w14:textId="3AFBA8C9" w:rsidR="006B4A9F" w:rsidRPr="009D6F7E" w:rsidRDefault="006B4A9F" w:rsidP="0065335C">
      <w:pPr>
        <w:spacing w:before="120"/>
        <w:rPr>
          <w:bCs/>
        </w:rPr>
      </w:pPr>
      <w:r w:rsidRPr="009D6F7E">
        <w:rPr>
          <w:bCs/>
        </w:rPr>
        <w:t>Attachments</w:t>
      </w:r>
      <w:r w:rsidR="0057152D">
        <w:rPr>
          <w:bCs/>
        </w:rPr>
        <w:t xml:space="preserve"> (3)</w:t>
      </w:r>
      <w:r w:rsidRPr="009D6F7E">
        <w:rPr>
          <w:bCs/>
        </w:rPr>
        <w:t>:  Draft liaison statements</w:t>
      </w:r>
    </w:p>
    <w:p w14:paraId="00E8D362" w14:textId="77777777" w:rsidR="006B4A9F" w:rsidRPr="009D6F7E" w:rsidRDefault="006B4A9F" w:rsidP="006B4A9F">
      <w:r w:rsidRPr="009D6F7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B4A9F" w:rsidRPr="009D6F7E" w14:paraId="49EEC184" w14:textId="77777777" w:rsidTr="00402C3A">
        <w:trPr>
          <w:cantSplit/>
        </w:trPr>
        <w:tc>
          <w:tcPr>
            <w:tcW w:w="6487" w:type="dxa"/>
            <w:vAlign w:val="center"/>
          </w:tcPr>
          <w:p w14:paraId="7F01FA0A" w14:textId="77777777" w:rsidR="006B4A9F" w:rsidRPr="009D6F7E" w:rsidRDefault="006B4A9F" w:rsidP="00402C3A">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09E24E9E" w14:textId="77777777" w:rsidR="006B4A9F" w:rsidRPr="009D6F7E" w:rsidRDefault="006B4A9F" w:rsidP="00402C3A">
            <w:pPr>
              <w:shd w:val="solid" w:color="FFFFFF" w:fill="FFFFFF"/>
              <w:spacing w:line="240" w:lineRule="atLeast"/>
            </w:pPr>
            <w:bookmarkStart w:id="2" w:name="ditulogo"/>
            <w:bookmarkEnd w:id="2"/>
            <w:r w:rsidRPr="00D01434">
              <w:rPr>
                <w:noProof/>
              </w:rPr>
              <w:drawing>
                <wp:inline distT="0" distB="0" distL="0" distR="0" wp14:anchorId="193676F1" wp14:editId="597DC2CE">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B4A9F" w:rsidRPr="009D6F7E" w14:paraId="55AA4AC4" w14:textId="77777777" w:rsidTr="00402C3A">
        <w:trPr>
          <w:cantSplit/>
        </w:trPr>
        <w:tc>
          <w:tcPr>
            <w:tcW w:w="6487" w:type="dxa"/>
            <w:tcBorders>
              <w:bottom w:val="single" w:sz="12" w:space="0" w:color="auto"/>
            </w:tcBorders>
          </w:tcPr>
          <w:p w14:paraId="6782AEAE" w14:textId="77777777" w:rsidR="006B4A9F" w:rsidRPr="009D6F7E" w:rsidRDefault="006B4A9F" w:rsidP="00402C3A">
            <w:pPr>
              <w:shd w:val="solid" w:color="FFFFFF" w:fill="FFFFFF"/>
              <w:spacing w:after="48"/>
              <w:rPr>
                <w:rFonts w:ascii="Verdana" w:hAnsi="Verdana" w:cs="Times New Roman Bold"/>
                <w:b/>
              </w:rPr>
            </w:pPr>
          </w:p>
        </w:tc>
        <w:tc>
          <w:tcPr>
            <w:tcW w:w="3402" w:type="dxa"/>
            <w:tcBorders>
              <w:bottom w:val="single" w:sz="12" w:space="0" w:color="auto"/>
            </w:tcBorders>
          </w:tcPr>
          <w:p w14:paraId="1B743F3A" w14:textId="77777777" w:rsidR="006B4A9F" w:rsidRPr="009D6F7E" w:rsidRDefault="006B4A9F" w:rsidP="00402C3A">
            <w:pPr>
              <w:shd w:val="solid" w:color="FFFFFF" w:fill="FFFFFF"/>
              <w:spacing w:after="48" w:line="240" w:lineRule="atLeast"/>
            </w:pPr>
          </w:p>
        </w:tc>
      </w:tr>
      <w:tr w:rsidR="006B4A9F" w:rsidRPr="009D6F7E" w14:paraId="209B7A0F" w14:textId="77777777" w:rsidTr="00402C3A">
        <w:trPr>
          <w:cantSplit/>
        </w:trPr>
        <w:tc>
          <w:tcPr>
            <w:tcW w:w="6487" w:type="dxa"/>
            <w:tcBorders>
              <w:top w:val="single" w:sz="12" w:space="0" w:color="auto"/>
            </w:tcBorders>
          </w:tcPr>
          <w:p w14:paraId="010331F9" w14:textId="77777777" w:rsidR="006B4A9F" w:rsidRPr="009D6F7E" w:rsidRDefault="006B4A9F" w:rsidP="00402C3A">
            <w:pPr>
              <w:shd w:val="solid" w:color="FFFFFF" w:fill="FFFFFF"/>
              <w:spacing w:after="48"/>
              <w:rPr>
                <w:rFonts w:ascii="Verdana" w:hAnsi="Verdana" w:cs="Times New Roman Bold"/>
                <w:bCs/>
              </w:rPr>
            </w:pPr>
          </w:p>
        </w:tc>
        <w:tc>
          <w:tcPr>
            <w:tcW w:w="3402" w:type="dxa"/>
            <w:tcBorders>
              <w:top w:val="single" w:sz="12" w:space="0" w:color="auto"/>
            </w:tcBorders>
          </w:tcPr>
          <w:p w14:paraId="72A0DF17" w14:textId="77777777" w:rsidR="006B4A9F" w:rsidRPr="009D6F7E" w:rsidRDefault="006B4A9F" w:rsidP="00402C3A">
            <w:pPr>
              <w:shd w:val="solid" w:color="FFFFFF" w:fill="FFFFFF"/>
              <w:spacing w:after="48" w:line="240" w:lineRule="atLeast"/>
            </w:pPr>
          </w:p>
        </w:tc>
      </w:tr>
      <w:tr w:rsidR="006B4A9F" w:rsidRPr="009D6F7E" w14:paraId="1070289D" w14:textId="77777777" w:rsidTr="00402C3A">
        <w:trPr>
          <w:cantSplit/>
        </w:trPr>
        <w:tc>
          <w:tcPr>
            <w:tcW w:w="6487" w:type="dxa"/>
            <w:vMerge w:val="restart"/>
          </w:tcPr>
          <w:p w14:paraId="07A6447B" w14:textId="77777777" w:rsidR="006B4A9F" w:rsidRPr="009D6F7E" w:rsidRDefault="006B4A9F" w:rsidP="00402C3A">
            <w:pPr>
              <w:shd w:val="solid" w:color="FFFFFF" w:fill="FFFFFF"/>
              <w:spacing w:after="240"/>
              <w:ind w:left="1134" w:hanging="1134"/>
              <w:rPr>
                <w:rFonts w:ascii="Verdana" w:hAnsi="Verdana"/>
                <w:sz w:val="20"/>
              </w:rPr>
            </w:pPr>
            <w:bookmarkStart w:id="3" w:name="recibido"/>
            <w:bookmarkStart w:id="4" w:name="dnum" w:colFirst="1" w:colLast="1"/>
            <w:bookmarkEnd w:id="3"/>
            <w:r w:rsidRPr="009D6F7E">
              <w:rPr>
                <w:rFonts w:ascii="Verdana" w:hAnsi="Verdana"/>
                <w:sz w:val="20"/>
              </w:rPr>
              <w:t>Source:</w:t>
            </w:r>
            <w:r w:rsidRPr="009D6F7E">
              <w:rPr>
                <w:rFonts w:ascii="Verdana" w:hAnsi="Verdana"/>
                <w:sz w:val="20"/>
              </w:rPr>
              <w:tab/>
              <w:t xml:space="preserve"> </w:t>
            </w:r>
          </w:p>
        </w:tc>
        <w:tc>
          <w:tcPr>
            <w:tcW w:w="3402" w:type="dxa"/>
          </w:tcPr>
          <w:p w14:paraId="109DCA8C"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Document 1A/TEMP/xxx</w:t>
            </w:r>
          </w:p>
        </w:tc>
      </w:tr>
      <w:tr w:rsidR="006B4A9F" w:rsidRPr="009D6F7E" w14:paraId="60983EF9" w14:textId="77777777" w:rsidTr="00402C3A">
        <w:trPr>
          <w:cantSplit/>
        </w:trPr>
        <w:tc>
          <w:tcPr>
            <w:tcW w:w="6487" w:type="dxa"/>
            <w:vMerge/>
          </w:tcPr>
          <w:p w14:paraId="39D2DB03" w14:textId="77777777" w:rsidR="006B4A9F" w:rsidRPr="009D6F7E" w:rsidRDefault="006B4A9F" w:rsidP="00402C3A">
            <w:pPr>
              <w:spacing w:before="60"/>
              <w:jc w:val="center"/>
              <w:rPr>
                <w:b/>
                <w:smallCaps/>
                <w:sz w:val="32"/>
                <w:lang w:eastAsia="zh-CN"/>
              </w:rPr>
            </w:pPr>
            <w:bookmarkStart w:id="5" w:name="ddate" w:colFirst="1" w:colLast="1"/>
            <w:bookmarkEnd w:id="4"/>
          </w:p>
        </w:tc>
        <w:tc>
          <w:tcPr>
            <w:tcW w:w="3402" w:type="dxa"/>
          </w:tcPr>
          <w:p w14:paraId="6928E2F8"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 xml:space="preserve"> </w:t>
            </w:r>
          </w:p>
        </w:tc>
      </w:tr>
      <w:tr w:rsidR="006B4A9F" w:rsidRPr="009D6F7E" w14:paraId="1EFBB2B1" w14:textId="77777777" w:rsidTr="00402C3A">
        <w:trPr>
          <w:cantSplit/>
        </w:trPr>
        <w:tc>
          <w:tcPr>
            <w:tcW w:w="6487" w:type="dxa"/>
            <w:vMerge/>
          </w:tcPr>
          <w:p w14:paraId="4BB4D277" w14:textId="77777777" w:rsidR="006B4A9F" w:rsidRPr="009D6F7E" w:rsidRDefault="006B4A9F" w:rsidP="00402C3A">
            <w:pPr>
              <w:spacing w:before="60"/>
              <w:jc w:val="center"/>
              <w:rPr>
                <w:b/>
                <w:smallCaps/>
                <w:sz w:val="32"/>
                <w:lang w:eastAsia="zh-CN"/>
              </w:rPr>
            </w:pPr>
            <w:bookmarkStart w:id="6" w:name="dorlang" w:colFirst="1" w:colLast="1"/>
            <w:bookmarkEnd w:id="5"/>
          </w:p>
        </w:tc>
        <w:tc>
          <w:tcPr>
            <w:tcW w:w="3402" w:type="dxa"/>
          </w:tcPr>
          <w:p w14:paraId="72FAEA4E" w14:textId="77777777" w:rsidR="006B4A9F" w:rsidRPr="009D6F7E" w:rsidRDefault="006B4A9F" w:rsidP="00402C3A">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6B4A9F" w:rsidRPr="009D6F7E" w14:paraId="3FC950E1" w14:textId="77777777" w:rsidTr="00402C3A">
        <w:trPr>
          <w:cantSplit/>
        </w:trPr>
        <w:tc>
          <w:tcPr>
            <w:tcW w:w="9889" w:type="dxa"/>
            <w:gridSpan w:val="2"/>
          </w:tcPr>
          <w:p w14:paraId="3902E99F" w14:textId="77777777" w:rsidR="006B4A9F" w:rsidRPr="009D6F7E" w:rsidRDefault="006B4A9F" w:rsidP="00402C3A">
            <w:pPr>
              <w:pStyle w:val="Source"/>
              <w:rPr>
                <w:lang w:eastAsia="zh-CN"/>
              </w:rPr>
            </w:pPr>
            <w:bookmarkStart w:id="7" w:name="dsource" w:colFirst="0" w:colLast="0"/>
            <w:bookmarkEnd w:id="6"/>
            <w:r w:rsidRPr="009D6F7E">
              <w:rPr>
                <w:lang w:eastAsia="zh-CN"/>
              </w:rPr>
              <w:t>Working Party 1A</w:t>
            </w:r>
          </w:p>
        </w:tc>
      </w:tr>
      <w:tr w:rsidR="006B4A9F" w:rsidRPr="009D6F7E" w14:paraId="5EB6F3F1" w14:textId="77777777" w:rsidTr="00402C3A">
        <w:trPr>
          <w:cantSplit/>
        </w:trPr>
        <w:tc>
          <w:tcPr>
            <w:tcW w:w="9889" w:type="dxa"/>
            <w:gridSpan w:val="2"/>
          </w:tcPr>
          <w:p w14:paraId="29309298" w14:textId="77777777" w:rsidR="006B4A9F" w:rsidRPr="009D6F7E" w:rsidRDefault="006B4A9F" w:rsidP="00402C3A">
            <w:pPr>
              <w:pStyle w:val="Title1"/>
              <w:rPr>
                <w:lang w:eastAsia="zh-CN"/>
              </w:rPr>
            </w:pPr>
            <w:bookmarkStart w:id="8" w:name="drec" w:colFirst="0" w:colLast="0"/>
            <w:bookmarkEnd w:id="7"/>
            <w:r w:rsidRPr="009D6F7E">
              <w:rPr>
                <w:lang w:eastAsia="zh-CN"/>
              </w:rPr>
              <w:t xml:space="preserve">DRAFT LIAISON STATEMENT TO Working Parties 3j AND 3M </w:t>
            </w:r>
          </w:p>
          <w:p w14:paraId="4774964D" w14:textId="77777777" w:rsidR="006B4A9F" w:rsidRPr="009D6F7E" w:rsidRDefault="006B4A9F" w:rsidP="00402C3A">
            <w:pPr>
              <w:pStyle w:val="Title1"/>
              <w:rPr>
                <w:lang w:eastAsia="zh-CN"/>
              </w:rPr>
            </w:pPr>
            <w:r w:rsidRPr="009D6F7E">
              <w:rPr>
                <w:lang w:eastAsia="zh-CN"/>
              </w:rPr>
              <w:t>(copy for information TO WORKING PARTIES 7C and 7D)</w:t>
            </w:r>
          </w:p>
        </w:tc>
      </w:tr>
      <w:tr w:rsidR="006B4A9F" w:rsidRPr="009D6F7E" w14:paraId="00E282BB" w14:textId="77777777" w:rsidTr="00402C3A">
        <w:trPr>
          <w:cantSplit/>
        </w:trPr>
        <w:tc>
          <w:tcPr>
            <w:tcW w:w="9889" w:type="dxa"/>
            <w:gridSpan w:val="2"/>
          </w:tcPr>
          <w:p w14:paraId="2BB95AF0" w14:textId="09FCA148" w:rsidR="0057152D" w:rsidRPr="0057152D" w:rsidRDefault="006B4A9F" w:rsidP="0057152D">
            <w:pPr>
              <w:pStyle w:val="Title4"/>
              <w:rPr>
                <w:lang w:eastAsia="zh-CN"/>
              </w:rPr>
            </w:pPr>
            <w:bookmarkStart w:id="9" w:name="dtitle1" w:colFirst="0" w:colLast="0"/>
            <w:bookmarkEnd w:id="8"/>
            <w:r w:rsidRPr="009D6F7E">
              <w:rPr>
                <w:lang w:eastAsia="zh-CN"/>
              </w:rPr>
              <w:t xml:space="preserve">Propagation </w:t>
            </w:r>
            <w:r w:rsidR="0057152D">
              <w:rPr>
                <w:lang w:eastAsia="zh-CN"/>
              </w:rPr>
              <w:t>i</w:t>
            </w:r>
            <w:r w:rsidRPr="009D6F7E">
              <w:rPr>
                <w:lang w:eastAsia="zh-CN"/>
              </w:rPr>
              <w:t xml:space="preserve">nformation </w:t>
            </w:r>
            <w:r w:rsidRPr="009D6F7E">
              <w:rPr>
                <w:szCs w:val="28"/>
                <w:lang w:val="en-US"/>
              </w:rPr>
              <w:t>related to proposed</w:t>
            </w:r>
            <w:r w:rsidRPr="009D6F7E">
              <w:rPr>
                <w:lang w:eastAsia="zh-CN"/>
              </w:rPr>
              <w:t xml:space="preserve"> s</w:t>
            </w:r>
            <w:r w:rsidRPr="009D6F7E">
              <w:rPr>
                <w:szCs w:val="28"/>
                <w:lang w:val="en-US"/>
              </w:rPr>
              <w:t>tudies</w:t>
            </w:r>
            <w:r w:rsidRPr="009D6F7E">
              <w:rPr>
                <w:lang w:eastAsia="zh-CN"/>
              </w:rPr>
              <w:t xml:space="preserve"> under Resolution 731 </w:t>
            </w:r>
            <w:r w:rsidR="0057152D" w:rsidRPr="0057152D">
              <w:rPr>
                <w:lang w:eastAsia="zh-CN"/>
              </w:rPr>
              <w:t>(Rev. WRC-19)</w:t>
            </w:r>
          </w:p>
        </w:tc>
      </w:tr>
    </w:tbl>
    <w:p w14:paraId="1E555B56" w14:textId="77777777" w:rsidR="00432382" w:rsidRDefault="00432382" w:rsidP="006B4A9F">
      <w:pPr>
        <w:keepNext/>
        <w:keepLines/>
        <w:rPr>
          <w:lang w:eastAsia="zh-CN"/>
        </w:rPr>
      </w:pPr>
      <w:bookmarkStart w:id="10" w:name="dbreak"/>
      <w:bookmarkEnd w:id="9"/>
      <w:bookmarkEnd w:id="10"/>
    </w:p>
    <w:p w14:paraId="6E88F0CE" w14:textId="7DEAF17E" w:rsidR="006B4A9F" w:rsidRDefault="006B4A9F" w:rsidP="009A63E4">
      <w:pPr>
        <w:keepNext/>
        <w:keepLines/>
        <w:spacing w:before="120"/>
        <w:rPr>
          <w:lang w:eastAsia="zh-CN"/>
        </w:rPr>
      </w:pPr>
      <w:r w:rsidRPr="00345F8D">
        <w:rPr>
          <w:lang w:eastAsia="zh-CN"/>
        </w:rPr>
        <w:t xml:space="preserve">In accordance with </w:t>
      </w:r>
      <w:r w:rsidRPr="0057152D">
        <w:rPr>
          <w:i/>
          <w:lang w:eastAsia="zh-CN"/>
        </w:rPr>
        <w:t xml:space="preserve">invites </w:t>
      </w:r>
      <w:r w:rsidR="00E41AEB">
        <w:rPr>
          <w:i/>
          <w:lang w:eastAsia="zh-CN"/>
        </w:rPr>
        <w:t xml:space="preserve">the </w:t>
      </w:r>
      <w:r w:rsidRPr="0057152D">
        <w:rPr>
          <w:i/>
          <w:lang w:eastAsia="zh-CN"/>
        </w:rPr>
        <w:t>ITU-R 1</w:t>
      </w:r>
      <w:r w:rsidRPr="00345F8D">
        <w:rPr>
          <w:lang w:eastAsia="zh-CN"/>
        </w:rPr>
        <w:t xml:space="preserve"> of Resolution </w:t>
      </w:r>
      <w:r w:rsidRPr="0057152D">
        <w:rPr>
          <w:b/>
          <w:lang w:eastAsia="zh-CN"/>
        </w:rPr>
        <w:t>731 (</w:t>
      </w:r>
      <w:r w:rsidR="00432382" w:rsidRPr="0057152D">
        <w:rPr>
          <w:b/>
          <w:lang w:eastAsia="zh-CN"/>
        </w:rPr>
        <w:t xml:space="preserve">Rev. </w:t>
      </w:r>
      <w:r w:rsidRPr="0057152D">
        <w:rPr>
          <w:b/>
          <w:lang w:eastAsia="zh-CN"/>
        </w:rPr>
        <w:t>WRC-19)</w:t>
      </w:r>
      <w:r w:rsidRPr="00345F8D">
        <w:rPr>
          <w:lang w:eastAsia="zh-CN"/>
        </w:rPr>
        <w:t>, Working Party (WP) 1A is considering if</w:t>
      </w:r>
      <w:r w:rsidR="0057152D">
        <w:rPr>
          <w:lang w:eastAsia="zh-CN"/>
        </w:rPr>
        <w:t>,</w:t>
      </w:r>
      <w:r w:rsidRPr="00345F8D">
        <w:rPr>
          <w:lang w:eastAsia="zh-CN"/>
        </w:rPr>
        <w:t xml:space="preserve"> and under what conditions</w:t>
      </w:r>
      <w:r w:rsidR="0057152D">
        <w:rPr>
          <w:lang w:eastAsia="zh-CN"/>
        </w:rPr>
        <w:t>,</w:t>
      </w:r>
      <w:r w:rsidRPr="00345F8D">
        <w:rPr>
          <w:lang w:eastAsia="zh-CN"/>
        </w:rPr>
        <w:t xml:space="preserve"> sharing is possible between active and passive services in passive bands between 86 and 252 GHz. As such, WP 1A requests WPs 3J and 3M to provide guidance on which ITU-R Recommendations should be used to appropriately model the propagation effects (e.g., free-space attenuation, atmospheric absorption, hydrometeor scatter, multipath, etc.) that exist for this frequency range between terrestrial-based fixed service interferers and satellite-based passive sensors. </w:t>
      </w:r>
      <w:r w:rsidRPr="00345F8D">
        <w:t>Working Parties 3J and 3M</w:t>
      </w:r>
      <w:r w:rsidRPr="00345F8D">
        <w:rPr>
          <w:lang w:eastAsia="zh-CN"/>
        </w:rPr>
        <w:t xml:space="preserve"> are kindly invited to respond in a timely manner before the deadline of 15 May 2021, at the latest, and in advance if possible.</w:t>
      </w:r>
    </w:p>
    <w:p w14:paraId="25AAA3FF" w14:textId="77777777" w:rsidR="009A63E4" w:rsidRPr="00345F8D" w:rsidRDefault="009A63E4" w:rsidP="009A63E4">
      <w:pPr>
        <w:keepNext/>
        <w:keepLines/>
        <w:spacing w:before="120"/>
        <w:rPr>
          <w:lang w:eastAsia="zh-CN"/>
        </w:rPr>
      </w:pPr>
    </w:p>
    <w:tbl>
      <w:tblPr>
        <w:tblW w:w="10260" w:type="dxa"/>
        <w:tblLayout w:type="fixed"/>
        <w:tblLook w:val="0000" w:firstRow="0" w:lastRow="0" w:firstColumn="0" w:lastColumn="0" w:noHBand="0" w:noVBand="0"/>
      </w:tblPr>
      <w:tblGrid>
        <w:gridCol w:w="1260"/>
        <w:gridCol w:w="4410"/>
        <w:gridCol w:w="1080"/>
        <w:gridCol w:w="3510"/>
      </w:tblGrid>
      <w:tr w:rsidR="006B4A9F" w:rsidRPr="009D6F7E" w14:paraId="04526D46" w14:textId="77777777" w:rsidTr="00402C3A">
        <w:trPr>
          <w:cantSplit/>
        </w:trPr>
        <w:tc>
          <w:tcPr>
            <w:tcW w:w="1260" w:type="dxa"/>
          </w:tcPr>
          <w:p w14:paraId="6F8EF71F" w14:textId="77777777" w:rsidR="006B4A9F" w:rsidRPr="009D6F7E" w:rsidRDefault="006B4A9F" w:rsidP="00402C3A">
            <w:pPr>
              <w:keepNext/>
              <w:keepLines/>
              <w:rPr>
                <w:b/>
              </w:rPr>
            </w:pPr>
            <w:r w:rsidRPr="009D6F7E">
              <w:rPr>
                <w:b/>
              </w:rPr>
              <w:t>Status:</w:t>
            </w:r>
          </w:p>
        </w:tc>
        <w:tc>
          <w:tcPr>
            <w:tcW w:w="4410" w:type="dxa"/>
          </w:tcPr>
          <w:p w14:paraId="5AAB4903" w14:textId="77777777" w:rsidR="006B4A9F" w:rsidRPr="007C419E" w:rsidRDefault="006B4A9F" w:rsidP="00402C3A">
            <w:pPr>
              <w:keepNext/>
              <w:keepLines/>
              <w:tabs>
                <w:tab w:val="left" w:pos="709"/>
              </w:tabs>
            </w:pPr>
            <w:r w:rsidRPr="006B4A9F">
              <w:t>For action.</w:t>
            </w:r>
          </w:p>
        </w:tc>
        <w:tc>
          <w:tcPr>
            <w:tcW w:w="4590" w:type="dxa"/>
            <w:gridSpan w:val="2"/>
          </w:tcPr>
          <w:p w14:paraId="781CCF87" w14:textId="77777777" w:rsidR="006B4A9F" w:rsidRPr="009D6F7E" w:rsidRDefault="006B4A9F" w:rsidP="00402C3A">
            <w:pPr>
              <w:keepNext/>
              <w:keepLines/>
              <w:tabs>
                <w:tab w:val="left" w:pos="709"/>
              </w:tabs>
            </w:pPr>
          </w:p>
        </w:tc>
      </w:tr>
      <w:tr w:rsidR="006B4A9F" w:rsidRPr="009D6F7E" w14:paraId="51C959D0" w14:textId="77777777" w:rsidTr="00402C3A">
        <w:trPr>
          <w:cantSplit/>
        </w:trPr>
        <w:tc>
          <w:tcPr>
            <w:tcW w:w="1260" w:type="dxa"/>
          </w:tcPr>
          <w:p w14:paraId="6936DA63" w14:textId="77777777" w:rsidR="006B4A9F" w:rsidRPr="009D6F7E" w:rsidRDefault="006B4A9F" w:rsidP="00402C3A">
            <w:pPr>
              <w:keepNext/>
              <w:keepLines/>
              <w:rPr>
                <w:b/>
              </w:rPr>
            </w:pPr>
            <w:r w:rsidRPr="009D6F7E">
              <w:rPr>
                <w:b/>
              </w:rPr>
              <w:t>Deadline:</w:t>
            </w:r>
          </w:p>
        </w:tc>
        <w:tc>
          <w:tcPr>
            <w:tcW w:w="4410" w:type="dxa"/>
          </w:tcPr>
          <w:p w14:paraId="7864FE80" w14:textId="77777777" w:rsidR="006B4A9F" w:rsidRPr="009D6F7E" w:rsidRDefault="006B4A9F" w:rsidP="00402C3A">
            <w:pPr>
              <w:keepNext/>
              <w:keepLines/>
              <w:tabs>
                <w:tab w:val="left" w:pos="709"/>
              </w:tabs>
            </w:pPr>
            <w:r w:rsidRPr="009D6F7E">
              <w:t>15 May 2021</w:t>
            </w:r>
          </w:p>
        </w:tc>
        <w:tc>
          <w:tcPr>
            <w:tcW w:w="4590" w:type="dxa"/>
            <w:gridSpan w:val="2"/>
          </w:tcPr>
          <w:p w14:paraId="55845BFA" w14:textId="77777777" w:rsidR="006B4A9F" w:rsidRPr="009D6F7E" w:rsidRDefault="006B4A9F" w:rsidP="00402C3A">
            <w:pPr>
              <w:keepNext/>
              <w:keepLines/>
              <w:tabs>
                <w:tab w:val="left" w:pos="709"/>
              </w:tabs>
            </w:pPr>
          </w:p>
        </w:tc>
      </w:tr>
      <w:tr w:rsidR="006B4A9F" w:rsidRPr="009D6F7E" w14:paraId="55BF3DC2" w14:textId="77777777" w:rsidTr="00402C3A">
        <w:trPr>
          <w:cantSplit/>
          <w:trHeight w:val="270"/>
        </w:trPr>
        <w:tc>
          <w:tcPr>
            <w:tcW w:w="1260" w:type="dxa"/>
          </w:tcPr>
          <w:p w14:paraId="34877228" w14:textId="77777777" w:rsidR="006B4A9F" w:rsidRPr="009D6F7E" w:rsidRDefault="006B4A9F" w:rsidP="00402C3A">
            <w:pPr>
              <w:keepNext/>
              <w:keepLines/>
              <w:rPr>
                <w:b/>
              </w:rPr>
            </w:pPr>
            <w:r w:rsidRPr="009D6F7E">
              <w:rPr>
                <w:b/>
              </w:rPr>
              <w:t>Contact:</w:t>
            </w:r>
          </w:p>
        </w:tc>
        <w:tc>
          <w:tcPr>
            <w:tcW w:w="4410" w:type="dxa"/>
          </w:tcPr>
          <w:p w14:paraId="4B332A18" w14:textId="77777777" w:rsidR="006B4A9F" w:rsidRPr="009D6F7E" w:rsidRDefault="006B4A9F" w:rsidP="00402C3A">
            <w:pPr>
              <w:keepNext/>
              <w:keepLines/>
              <w:tabs>
                <w:tab w:val="center" w:pos="7230"/>
              </w:tabs>
            </w:pPr>
          </w:p>
        </w:tc>
        <w:tc>
          <w:tcPr>
            <w:tcW w:w="1080" w:type="dxa"/>
          </w:tcPr>
          <w:p w14:paraId="04E2B217" w14:textId="77777777" w:rsidR="006B4A9F" w:rsidRPr="009D6F7E" w:rsidRDefault="006B4A9F" w:rsidP="00402C3A">
            <w:pPr>
              <w:keepNext/>
              <w:keepLines/>
              <w:tabs>
                <w:tab w:val="left" w:pos="884"/>
              </w:tabs>
              <w:rPr>
                <w:b/>
                <w:bCs/>
              </w:rPr>
            </w:pPr>
            <w:r w:rsidRPr="009D6F7E">
              <w:rPr>
                <w:b/>
                <w:bCs/>
              </w:rPr>
              <w:t>E-mails</w:t>
            </w:r>
            <w:r w:rsidRPr="009D6F7E">
              <w:t>:</w:t>
            </w:r>
          </w:p>
        </w:tc>
        <w:tc>
          <w:tcPr>
            <w:tcW w:w="3510" w:type="dxa"/>
          </w:tcPr>
          <w:p w14:paraId="07D6C7E4" w14:textId="77777777" w:rsidR="006B4A9F" w:rsidRPr="009D6F7E" w:rsidRDefault="006B4A9F" w:rsidP="00402C3A">
            <w:pPr>
              <w:keepNext/>
              <w:keepLines/>
              <w:tabs>
                <w:tab w:val="left" w:pos="884"/>
              </w:tabs>
            </w:pPr>
          </w:p>
        </w:tc>
      </w:tr>
      <w:tr w:rsidR="006B4A9F" w:rsidRPr="009D6F7E" w14:paraId="37BBD3AD" w14:textId="77777777" w:rsidTr="00402C3A">
        <w:trPr>
          <w:cantSplit/>
          <w:trHeight w:val="270"/>
        </w:trPr>
        <w:tc>
          <w:tcPr>
            <w:tcW w:w="1260" w:type="dxa"/>
          </w:tcPr>
          <w:p w14:paraId="24B123B4" w14:textId="77777777" w:rsidR="006B4A9F" w:rsidRPr="009D6F7E" w:rsidRDefault="006B4A9F" w:rsidP="00402C3A">
            <w:pPr>
              <w:keepNext/>
              <w:keepLines/>
              <w:rPr>
                <w:b/>
              </w:rPr>
            </w:pPr>
          </w:p>
        </w:tc>
        <w:tc>
          <w:tcPr>
            <w:tcW w:w="4410" w:type="dxa"/>
          </w:tcPr>
          <w:p w14:paraId="3AB37D45" w14:textId="77777777" w:rsidR="006B4A9F" w:rsidRPr="009D6F7E" w:rsidRDefault="006B4A9F" w:rsidP="00402C3A">
            <w:pPr>
              <w:keepNext/>
              <w:keepLines/>
              <w:tabs>
                <w:tab w:val="center" w:pos="7230"/>
              </w:tabs>
            </w:pPr>
          </w:p>
        </w:tc>
        <w:tc>
          <w:tcPr>
            <w:tcW w:w="1080" w:type="dxa"/>
          </w:tcPr>
          <w:p w14:paraId="12D9817B" w14:textId="77777777" w:rsidR="006B4A9F" w:rsidRPr="009D6F7E" w:rsidRDefault="006B4A9F" w:rsidP="00402C3A">
            <w:pPr>
              <w:keepNext/>
              <w:keepLines/>
              <w:tabs>
                <w:tab w:val="left" w:pos="884"/>
              </w:tabs>
              <w:rPr>
                <w:b/>
                <w:bCs/>
              </w:rPr>
            </w:pPr>
          </w:p>
        </w:tc>
        <w:tc>
          <w:tcPr>
            <w:tcW w:w="3510" w:type="dxa"/>
          </w:tcPr>
          <w:p w14:paraId="3D49151D" w14:textId="77777777" w:rsidR="006B4A9F" w:rsidRPr="009D6F7E" w:rsidRDefault="006B4A9F" w:rsidP="00402C3A">
            <w:pPr>
              <w:keepNext/>
              <w:keepLines/>
              <w:tabs>
                <w:tab w:val="left" w:pos="884"/>
              </w:tabs>
            </w:pPr>
          </w:p>
        </w:tc>
      </w:tr>
      <w:tr w:rsidR="006B4A9F" w:rsidRPr="009D6F7E" w14:paraId="12523095" w14:textId="77777777" w:rsidTr="00402C3A">
        <w:trPr>
          <w:cantSplit/>
          <w:trHeight w:val="270"/>
        </w:trPr>
        <w:tc>
          <w:tcPr>
            <w:tcW w:w="1260" w:type="dxa"/>
          </w:tcPr>
          <w:p w14:paraId="3BB45B08" w14:textId="77777777" w:rsidR="006B4A9F" w:rsidRPr="009D6F7E" w:rsidRDefault="006B4A9F" w:rsidP="00402C3A">
            <w:pPr>
              <w:rPr>
                <w:b/>
              </w:rPr>
            </w:pPr>
          </w:p>
        </w:tc>
        <w:tc>
          <w:tcPr>
            <w:tcW w:w="4410" w:type="dxa"/>
          </w:tcPr>
          <w:p w14:paraId="11150AD1" w14:textId="77777777" w:rsidR="006B4A9F" w:rsidRPr="009D6F7E" w:rsidRDefault="006B4A9F" w:rsidP="00402C3A">
            <w:pPr>
              <w:tabs>
                <w:tab w:val="center" w:pos="7230"/>
              </w:tabs>
            </w:pPr>
          </w:p>
        </w:tc>
        <w:tc>
          <w:tcPr>
            <w:tcW w:w="1080" w:type="dxa"/>
          </w:tcPr>
          <w:p w14:paraId="6F4C9D49" w14:textId="77777777" w:rsidR="006B4A9F" w:rsidRPr="009D6F7E" w:rsidRDefault="006B4A9F" w:rsidP="00402C3A">
            <w:pPr>
              <w:tabs>
                <w:tab w:val="left" w:pos="884"/>
              </w:tabs>
              <w:rPr>
                <w:b/>
                <w:bCs/>
              </w:rPr>
            </w:pPr>
          </w:p>
        </w:tc>
        <w:tc>
          <w:tcPr>
            <w:tcW w:w="3510" w:type="dxa"/>
          </w:tcPr>
          <w:p w14:paraId="693ADD8C" w14:textId="77777777" w:rsidR="006B4A9F" w:rsidRPr="009D6F7E" w:rsidRDefault="006B4A9F" w:rsidP="00402C3A">
            <w:pPr>
              <w:tabs>
                <w:tab w:val="left" w:pos="884"/>
              </w:tabs>
            </w:pPr>
          </w:p>
        </w:tc>
      </w:tr>
    </w:tbl>
    <w:p w14:paraId="761E8D1B" w14:textId="77777777" w:rsidR="006B4A9F" w:rsidRPr="009D6F7E" w:rsidRDefault="006B4A9F" w:rsidP="006B4A9F">
      <w:pPr>
        <w:pStyle w:val="Tablefin"/>
      </w:pPr>
    </w:p>
    <w:p w14:paraId="0D1841DE" w14:textId="77777777" w:rsidR="006B4A9F" w:rsidRPr="009D6F7E" w:rsidRDefault="006B4A9F" w:rsidP="006B4A9F">
      <w:pPr>
        <w:pStyle w:val="Reasons"/>
      </w:pPr>
    </w:p>
    <w:p w14:paraId="76A39B44" w14:textId="77777777" w:rsidR="006B4A9F" w:rsidRPr="009D6F7E" w:rsidRDefault="006B4A9F" w:rsidP="006B4A9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B4A9F" w:rsidRPr="009D6F7E" w14:paraId="6BB1D5ED" w14:textId="77777777" w:rsidTr="00402C3A">
        <w:trPr>
          <w:cantSplit/>
        </w:trPr>
        <w:tc>
          <w:tcPr>
            <w:tcW w:w="6487" w:type="dxa"/>
            <w:vAlign w:val="center"/>
          </w:tcPr>
          <w:p w14:paraId="7D8873B0" w14:textId="77777777" w:rsidR="006B4A9F" w:rsidRPr="009D6F7E" w:rsidRDefault="006B4A9F" w:rsidP="00402C3A">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76CB2E08" w14:textId="77777777" w:rsidR="006B4A9F" w:rsidRPr="009D6F7E" w:rsidRDefault="006B4A9F" w:rsidP="00402C3A">
            <w:pPr>
              <w:shd w:val="solid" w:color="FFFFFF" w:fill="FFFFFF"/>
              <w:spacing w:line="240" w:lineRule="atLeast"/>
            </w:pPr>
            <w:r w:rsidRPr="00D01434">
              <w:rPr>
                <w:noProof/>
              </w:rPr>
              <w:drawing>
                <wp:inline distT="0" distB="0" distL="0" distR="0" wp14:anchorId="48A74F13" wp14:editId="55915781">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B4A9F" w:rsidRPr="009D6F7E" w14:paraId="02D1BF01" w14:textId="77777777" w:rsidTr="00402C3A">
        <w:trPr>
          <w:cantSplit/>
        </w:trPr>
        <w:tc>
          <w:tcPr>
            <w:tcW w:w="6487" w:type="dxa"/>
            <w:tcBorders>
              <w:bottom w:val="single" w:sz="12" w:space="0" w:color="auto"/>
            </w:tcBorders>
          </w:tcPr>
          <w:p w14:paraId="2068CA07" w14:textId="77777777" w:rsidR="006B4A9F" w:rsidRPr="009D6F7E" w:rsidRDefault="006B4A9F" w:rsidP="00402C3A">
            <w:pPr>
              <w:shd w:val="solid" w:color="FFFFFF" w:fill="FFFFFF"/>
              <w:spacing w:after="48"/>
              <w:rPr>
                <w:rFonts w:ascii="Verdana" w:hAnsi="Verdana" w:cs="Times New Roman Bold"/>
                <w:b/>
              </w:rPr>
            </w:pPr>
          </w:p>
        </w:tc>
        <w:tc>
          <w:tcPr>
            <w:tcW w:w="3402" w:type="dxa"/>
            <w:tcBorders>
              <w:bottom w:val="single" w:sz="12" w:space="0" w:color="auto"/>
            </w:tcBorders>
          </w:tcPr>
          <w:p w14:paraId="6F1B3BCB" w14:textId="77777777" w:rsidR="006B4A9F" w:rsidRPr="009D6F7E" w:rsidRDefault="006B4A9F" w:rsidP="00402C3A">
            <w:pPr>
              <w:shd w:val="solid" w:color="FFFFFF" w:fill="FFFFFF"/>
              <w:spacing w:after="48" w:line="240" w:lineRule="atLeast"/>
            </w:pPr>
          </w:p>
        </w:tc>
      </w:tr>
      <w:tr w:rsidR="006B4A9F" w:rsidRPr="009D6F7E" w14:paraId="3FF96980" w14:textId="77777777" w:rsidTr="00402C3A">
        <w:trPr>
          <w:cantSplit/>
        </w:trPr>
        <w:tc>
          <w:tcPr>
            <w:tcW w:w="6487" w:type="dxa"/>
            <w:tcBorders>
              <w:top w:val="single" w:sz="12" w:space="0" w:color="auto"/>
            </w:tcBorders>
          </w:tcPr>
          <w:p w14:paraId="43993E56" w14:textId="77777777" w:rsidR="006B4A9F" w:rsidRPr="009D6F7E" w:rsidRDefault="006B4A9F" w:rsidP="00402C3A">
            <w:pPr>
              <w:shd w:val="solid" w:color="FFFFFF" w:fill="FFFFFF"/>
              <w:spacing w:after="48"/>
              <w:rPr>
                <w:rFonts w:ascii="Verdana" w:hAnsi="Verdana" w:cs="Times New Roman Bold"/>
                <w:bCs/>
              </w:rPr>
            </w:pPr>
          </w:p>
        </w:tc>
        <w:tc>
          <w:tcPr>
            <w:tcW w:w="3402" w:type="dxa"/>
            <w:tcBorders>
              <w:top w:val="single" w:sz="12" w:space="0" w:color="auto"/>
            </w:tcBorders>
          </w:tcPr>
          <w:p w14:paraId="68F95331" w14:textId="77777777" w:rsidR="006B4A9F" w:rsidRPr="009D6F7E" w:rsidRDefault="006B4A9F" w:rsidP="00402C3A">
            <w:pPr>
              <w:shd w:val="solid" w:color="FFFFFF" w:fill="FFFFFF"/>
              <w:spacing w:after="48" w:line="240" w:lineRule="atLeast"/>
            </w:pPr>
          </w:p>
        </w:tc>
      </w:tr>
      <w:tr w:rsidR="006B4A9F" w:rsidRPr="009D6F7E" w14:paraId="088A946E" w14:textId="77777777" w:rsidTr="00402C3A">
        <w:trPr>
          <w:cantSplit/>
        </w:trPr>
        <w:tc>
          <w:tcPr>
            <w:tcW w:w="6487" w:type="dxa"/>
            <w:vMerge w:val="restart"/>
          </w:tcPr>
          <w:p w14:paraId="5E512026" w14:textId="77777777" w:rsidR="006B4A9F" w:rsidRPr="009D6F7E" w:rsidRDefault="006B4A9F" w:rsidP="00402C3A">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694B4B09"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6B4A9F" w:rsidRPr="009D6F7E" w14:paraId="6DA2D303" w14:textId="77777777" w:rsidTr="00402C3A">
        <w:trPr>
          <w:cantSplit/>
        </w:trPr>
        <w:tc>
          <w:tcPr>
            <w:tcW w:w="6487" w:type="dxa"/>
            <w:vMerge/>
          </w:tcPr>
          <w:p w14:paraId="476CF29D" w14:textId="77777777" w:rsidR="006B4A9F" w:rsidRPr="009D6F7E" w:rsidRDefault="006B4A9F" w:rsidP="00402C3A">
            <w:pPr>
              <w:spacing w:before="60"/>
              <w:jc w:val="center"/>
              <w:rPr>
                <w:b/>
                <w:smallCaps/>
                <w:sz w:val="32"/>
                <w:lang w:eastAsia="zh-CN"/>
              </w:rPr>
            </w:pPr>
          </w:p>
        </w:tc>
        <w:tc>
          <w:tcPr>
            <w:tcW w:w="3402" w:type="dxa"/>
          </w:tcPr>
          <w:p w14:paraId="39A442C8"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6B4A9F" w:rsidRPr="009D6F7E" w14:paraId="49BD9397" w14:textId="77777777" w:rsidTr="00402C3A">
        <w:trPr>
          <w:cantSplit/>
        </w:trPr>
        <w:tc>
          <w:tcPr>
            <w:tcW w:w="6487" w:type="dxa"/>
            <w:vMerge/>
          </w:tcPr>
          <w:p w14:paraId="1A860A8F" w14:textId="77777777" w:rsidR="006B4A9F" w:rsidRPr="009D6F7E" w:rsidRDefault="006B4A9F" w:rsidP="00402C3A">
            <w:pPr>
              <w:spacing w:before="60"/>
              <w:jc w:val="center"/>
              <w:rPr>
                <w:b/>
                <w:smallCaps/>
                <w:sz w:val="32"/>
                <w:lang w:eastAsia="zh-CN"/>
              </w:rPr>
            </w:pPr>
          </w:p>
        </w:tc>
        <w:tc>
          <w:tcPr>
            <w:tcW w:w="3402" w:type="dxa"/>
          </w:tcPr>
          <w:p w14:paraId="234FDC27" w14:textId="77777777" w:rsidR="006B4A9F" w:rsidRPr="009D6F7E" w:rsidRDefault="006B4A9F" w:rsidP="00402C3A">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6B4A9F" w:rsidRPr="009D6F7E" w14:paraId="469F97A4" w14:textId="77777777" w:rsidTr="00402C3A">
        <w:trPr>
          <w:cantSplit/>
        </w:trPr>
        <w:tc>
          <w:tcPr>
            <w:tcW w:w="9889" w:type="dxa"/>
            <w:gridSpan w:val="2"/>
          </w:tcPr>
          <w:p w14:paraId="08D3F661" w14:textId="77777777" w:rsidR="006B4A9F" w:rsidRPr="009D6F7E" w:rsidRDefault="006B4A9F" w:rsidP="00402C3A">
            <w:pPr>
              <w:pStyle w:val="Source"/>
              <w:rPr>
                <w:lang w:eastAsia="zh-CN"/>
              </w:rPr>
            </w:pPr>
            <w:r w:rsidRPr="009D6F7E">
              <w:rPr>
                <w:lang w:eastAsia="zh-CN"/>
              </w:rPr>
              <w:t>Working Party 1A</w:t>
            </w:r>
          </w:p>
        </w:tc>
      </w:tr>
      <w:tr w:rsidR="006B4A9F" w:rsidRPr="009D6F7E" w14:paraId="79C660DC" w14:textId="77777777" w:rsidTr="00402C3A">
        <w:trPr>
          <w:cantSplit/>
        </w:trPr>
        <w:tc>
          <w:tcPr>
            <w:tcW w:w="9889" w:type="dxa"/>
            <w:gridSpan w:val="2"/>
          </w:tcPr>
          <w:p w14:paraId="73895574" w14:textId="77777777" w:rsidR="006B4A9F" w:rsidRPr="009D6F7E" w:rsidRDefault="006B4A9F" w:rsidP="00402C3A">
            <w:pPr>
              <w:pStyle w:val="Title1"/>
              <w:rPr>
                <w:lang w:eastAsia="zh-CN"/>
              </w:rPr>
            </w:pPr>
            <w:r w:rsidRPr="009D6F7E">
              <w:rPr>
                <w:lang w:eastAsia="zh-CN"/>
              </w:rPr>
              <w:t xml:space="preserve">DRAFT LIAISON STATEMENT TO Working Party 5C </w:t>
            </w:r>
          </w:p>
          <w:p w14:paraId="76A02C0A" w14:textId="77777777" w:rsidR="006B4A9F" w:rsidRPr="009D6F7E" w:rsidRDefault="006B4A9F" w:rsidP="00402C3A">
            <w:pPr>
              <w:jc w:val="center"/>
              <w:rPr>
                <w:lang w:eastAsia="zh-CN"/>
              </w:rPr>
            </w:pPr>
            <w:r w:rsidRPr="009D6F7E">
              <w:rPr>
                <w:sz w:val="28"/>
                <w:szCs w:val="28"/>
                <w:lang w:eastAsia="zh-CN"/>
              </w:rPr>
              <w:t>(COPY FOR INFORMATION TO WORKING PARTY 5A)</w:t>
            </w:r>
          </w:p>
        </w:tc>
      </w:tr>
      <w:tr w:rsidR="006B4A9F" w:rsidRPr="009D6F7E" w14:paraId="7BC0BD33" w14:textId="77777777" w:rsidTr="00402C3A">
        <w:trPr>
          <w:cantSplit/>
        </w:trPr>
        <w:tc>
          <w:tcPr>
            <w:tcW w:w="9889" w:type="dxa"/>
            <w:gridSpan w:val="2"/>
          </w:tcPr>
          <w:p w14:paraId="4A7EC10C" w14:textId="01186D28" w:rsidR="006B4A9F" w:rsidRPr="009D6F7E" w:rsidRDefault="006B4A9F" w:rsidP="00402C3A">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Resolution 731 </w:t>
            </w:r>
            <w:r w:rsidR="00D13E02">
              <w:rPr>
                <w:lang w:eastAsia="zh-CN"/>
              </w:rPr>
              <w:t xml:space="preserve">(Rev. </w:t>
            </w:r>
            <w:r w:rsidR="00D13E02" w:rsidRPr="009D6F7E">
              <w:rPr>
                <w:lang w:eastAsia="zh-CN"/>
              </w:rPr>
              <w:t xml:space="preserve"> WRC</w:t>
            </w:r>
            <w:r w:rsidR="00D13E02">
              <w:rPr>
                <w:lang w:eastAsia="zh-CN"/>
              </w:rPr>
              <w:t>-19)</w:t>
            </w:r>
          </w:p>
        </w:tc>
      </w:tr>
    </w:tbl>
    <w:p w14:paraId="2C27578C" w14:textId="77777777" w:rsidR="006B4A9F" w:rsidRPr="009D6F7E" w:rsidRDefault="006B4A9F" w:rsidP="006B4A9F">
      <w:pPr>
        <w:rPr>
          <w:lang w:eastAsia="zh-CN"/>
        </w:rPr>
      </w:pPr>
    </w:p>
    <w:p w14:paraId="7C565FCF" w14:textId="1ED84B3F" w:rsidR="006B4A9F" w:rsidRPr="007C419E" w:rsidRDefault="006B4A9F" w:rsidP="009A63E4">
      <w:pPr>
        <w:spacing w:before="120"/>
        <w:rPr>
          <w:lang w:eastAsia="zh-CN"/>
        </w:rPr>
      </w:pPr>
      <w:r w:rsidRPr="006B4A9F">
        <w:rPr>
          <w:lang w:eastAsia="zh-CN"/>
        </w:rPr>
        <w:t xml:space="preserve">In accordance with </w:t>
      </w:r>
      <w:r w:rsidRPr="0057152D">
        <w:rPr>
          <w:i/>
          <w:lang w:eastAsia="zh-CN"/>
        </w:rPr>
        <w:t xml:space="preserve">invites </w:t>
      </w:r>
      <w:r w:rsidR="00E41AEB">
        <w:rPr>
          <w:i/>
          <w:lang w:eastAsia="zh-CN"/>
        </w:rPr>
        <w:t xml:space="preserve">the </w:t>
      </w:r>
      <w:r w:rsidRPr="0057152D">
        <w:rPr>
          <w:i/>
          <w:lang w:eastAsia="zh-CN"/>
        </w:rPr>
        <w:t>ITU-R 1</w:t>
      </w:r>
      <w:r w:rsidRPr="006B4A9F">
        <w:rPr>
          <w:lang w:eastAsia="zh-CN"/>
        </w:rPr>
        <w:t xml:space="preserve"> of Resolution</w:t>
      </w:r>
      <w:r w:rsidRPr="006B4A9F">
        <w:rPr>
          <w:b/>
          <w:lang w:eastAsia="zh-CN"/>
        </w:rPr>
        <w:t xml:space="preserve"> </w:t>
      </w:r>
      <w:r w:rsidRPr="0057152D">
        <w:rPr>
          <w:b/>
          <w:lang w:eastAsia="zh-CN"/>
        </w:rPr>
        <w:t>731 (</w:t>
      </w:r>
      <w:r w:rsidR="00D13E02" w:rsidRPr="0057152D">
        <w:rPr>
          <w:b/>
          <w:lang w:eastAsia="zh-CN"/>
        </w:rPr>
        <w:t xml:space="preserve">Rev. </w:t>
      </w:r>
      <w:r w:rsidRPr="0057152D">
        <w:rPr>
          <w:b/>
          <w:lang w:eastAsia="zh-CN"/>
        </w:rPr>
        <w:t>WRC-19)</w:t>
      </w:r>
      <w:r w:rsidRPr="007C419E">
        <w:rPr>
          <w:lang w:eastAsia="zh-CN"/>
        </w:rPr>
        <w:t>, Working Party (WP) 1A is considering if</w:t>
      </w:r>
      <w:r w:rsidR="0057152D">
        <w:rPr>
          <w:lang w:eastAsia="zh-CN"/>
        </w:rPr>
        <w:t>,</w:t>
      </w:r>
      <w:r w:rsidRPr="007C419E">
        <w:rPr>
          <w:lang w:eastAsia="zh-CN"/>
        </w:rPr>
        <w:t xml:space="preserve"> and under what technical conditions</w:t>
      </w:r>
      <w:r w:rsidR="0057152D">
        <w:rPr>
          <w:lang w:eastAsia="zh-CN"/>
        </w:rPr>
        <w:t>,</w:t>
      </w:r>
      <w:r w:rsidRPr="007C419E">
        <w:rPr>
          <w:lang w:eastAsia="zh-CN"/>
        </w:rPr>
        <w:t xml:space="preserve"> sharing is possible between active and passive services in the frequency bands above 71 GHz. </w:t>
      </w:r>
    </w:p>
    <w:p w14:paraId="18A6931E" w14:textId="3E676DB4" w:rsidR="006B4A9F" w:rsidRPr="007C419E" w:rsidRDefault="006B4A9F" w:rsidP="009A63E4">
      <w:pPr>
        <w:spacing w:before="120"/>
        <w:rPr>
          <w:lang w:eastAsia="zh-CN"/>
        </w:rPr>
      </w:pPr>
      <w:r w:rsidRPr="007C419E">
        <w:rPr>
          <w:lang w:eastAsia="zh-CN"/>
        </w:rPr>
        <w:t>WP 1A would like to inform WPs 5A and 5C that the initial focu</w:t>
      </w:r>
      <w:r w:rsidR="0057152D">
        <w:rPr>
          <w:lang w:eastAsia="zh-CN"/>
        </w:rPr>
        <w:t>s of the</w:t>
      </w:r>
      <w:r w:rsidRPr="007C419E">
        <w:rPr>
          <w:lang w:eastAsia="zh-CN"/>
        </w:rPr>
        <w:t>s</w:t>
      </w:r>
      <w:r w:rsidR="0057152D">
        <w:rPr>
          <w:lang w:eastAsia="zh-CN"/>
        </w:rPr>
        <w:t>e</w:t>
      </w:r>
      <w:r w:rsidRPr="007C419E">
        <w:rPr>
          <w:lang w:eastAsia="zh-CN"/>
        </w:rPr>
        <w:t xml:space="preserve"> studies will be on fixed service operations.  For conducting studies called for in this Resolution, WP 1A requests information on the technical characteristics of fixed service systems that are planned to operate in the bands specified in Resolution </w:t>
      </w:r>
      <w:r w:rsidRPr="007C419E">
        <w:rPr>
          <w:b/>
          <w:lang w:eastAsia="zh-CN"/>
        </w:rPr>
        <w:t>731</w:t>
      </w:r>
      <w:r w:rsidRPr="007C419E">
        <w:rPr>
          <w:lang w:eastAsia="zh-CN"/>
        </w:rPr>
        <w:t xml:space="preserve">.  </w:t>
      </w:r>
    </w:p>
    <w:p w14:paraId="4966B6BF" w14:textId="77777777" w:rsidR="006B4A9F" w:rsidRPr="009D6F7E" w:rsidRDefault="006B4A9F" w:rsidP="009A63E4">
      <w:pPr>
        <w:pStyle w:val="Normalaftertitle"/>
        <w:spacing w:before="120"/>
        <w:rPr>
          <w:lang w:eastAsia="zh-CN"/>
        </w:rPr>
      </w:pPr>
      <w:r w:rsidRPr="009D6F7E">
        <w:rPr>
          <w:lang w:eastAsia="zh-CN"/>
        </w:rPr>
        <w:t xml:space="preserve"> WP 1A is also considering additional elements on how to address the complex sharing environment with these frequency bands.   WP1A would request specific guidance on:  </w:t>
      </w:r>
    </w:p>
    <w:p w14:paraId="047D96DB" w14:textId="77777777" w:rsidR="006B4A9F" w:rsidRPr="009D6F7E" w:rsidRDefault="006B4A9F" w:rsidP="009A63E4">
      <w:pPr>
        <w:pStyle w:val="Normalaftertitle"/>
        <w:spacing w:before="120"/>
        <w:ind w:left="1170"/>
        <w:rPr>
          <w:lang w:eastAsia="zh-CN"/>
        </w:rPr>
      </w:pPr>
      <w:r w:rsidRPr="009D6F7E">
        <w:rPr>
          <w:lang w:eastAsia="zh-CN"/>
        </w:rPr>
        <w:t>1.</w:t>
      </w:r>
      <w:r w:rsidRPr="009D6F7E">
        <w:rPr>
          <w:lang w:eastAsia="zh-CN"/>
        </w:rPr>
        <w:tab/>
        <w:t xml:space="preserve">Are fixed service system characteristics, including antenna and deployment information, available in the relevant frequency range, and can they be designed in such a way as to minimize radiation in the direction toward space?   </w:t>
      </w:r>
    </w:p>
    <w:p w14:paraId="6110FE63" w14:textId="77777777" w:rsidR="006B4A9F" w:rsidRPr="009D6F7E" w:rsidRDefault="006B4A9F" w:rsidP="009A63E4">
      <w:pPr>
        <w:pStyle w:val="Normalaftertitle"/>
        <w:spacing w:before="120"/>
        <w:rPr>
          <w:lang w:eastAsia="zh-CN"/>
        </w:rPr>
      </w:pPr>
      <w:r w:rsidRPr="009D6F7E">
        <w:rPr>
          <w:lang w:eastAsia="zh-CN"/>
        </w:rPr>
        <w:t xml:space="preserve">While there are some passive bands above 71 GHz that are already shared with other services, certain bands are protected by RR </w:t>
      </w:r>
      <w:r w:rsidRPr="0057152D">
        <w:rPr>
          <w:b/>
          <w:lang w:eastAsia="zh-CN"/>
        </w:rPr>
        <w:t>5.340</w:t>
      </w:r>
      <w:r w:rsidRPr="009D6F7E">
        <w:rPr>
          <w:lang w:eastAsia="zh-CN"/>
        </w:rPr>
        <w:t xml:space="preserve"> from any emissions and any shared use is presently prohibited.  With that in mind, more information is needed on antenna characteristics, particularly sidelobe behaviour, in order to determine if it is possible to permit sharing without any interference to EESS (passive) sensors. </w:t>
      </w:r>
    </w:p>
    <w:p w14:paraId="5716EEB8" w14:textId="77777777" w:rsidR="006B4A9F" w:rsidRPr="00345F8D" w:rsidRDefault="006B4A9F" w:rsidP="009A63E4">
      <w:pPr>
        <w:spacing w:before="120"/>
        <w:ind w:left="1170"/>
        <w:rPr>
          <w:lang w:eastAsia="zh-CN"/>
        </w:rPr>
      </w:pPr>
      <w:r w:rsidRPr="00345F8D">
        <w:rPr>
          <w:lang w:eastAsia="zh-CN"/>
        </w:rPr>
        <w:t>2.</w:t>
      </w:r>
      <w:r w:rsidRPr="00345F8D">
        <w:rPr>
          <w:lang w:eastAsia="zh-CN"/>
        </w:rPr>
        <w:tab/>
        <w:t>What are the system characteristics and deployment models for fixed service applications in these frequency ranges?</w:t>
      </w:r>
    </w:p>
    <w:p w14:paraId="25D0E635" w14:textId="788832DE" w:rsidR="006B4A9F" w:rsidRDefault="006B4A9F" w:rsidP="009A63E4">
      <w:pPr>
        <w:spacing w:before="120"/>
        <w:rPr>
          <w:bCs/>
          <w:lang w:eastAsia="ja-JP"/>
        </w:rPr>
      </w:pPr>
      <w:r w:rsidRPr="00345F8D">
        <w:rPr>
          <w:bCs/>
          <w:lang w:eastAsia="ja-JP"/>
        </w:rPr>
        <w:t xml:space="preserve"> F</w:t>
      </w:r>
      <w:r w:rsidR="0057152D">
        <w:rPr>
          <w:bCs/>
          <w:lang w:eastAsia="ja-JP"/>
        </w:rPr>
        <w:t>ixed</w:t>
      </w:r>
      <w:r w:rsidRPr="00345F8D">
        <w:rPr>
          <w:bCs/>
          <w:lang w:eastAsia="ja-JP"/>
        </w:rPr>
        <w:t xml:space="preserve"> systems generally have low elevation angles and atmospheric absorption is a key propagation issue above 71 GHz.   As a result, for low elevation angle fixed links, the interference path (ground-to-satellite) can have significant losses.  However</w:t>
      </w:r>
      <w:r w:rsidR="00CF0386">
        <w:rPr>
          <w:bCs/>
          <w:lang w:eastAsia="ja-JP"/>
        </w:rPr>
        <w:t>,</w:t>
      </w:r>
      <w:r w:rsidRPr="00345F8D">
        <w:rPr>
          <w:bCs/>
          <w:lang w:eastAsia="ja-JP"/>
        </w:rPr>
        <w:t xml:space="preserve"> this path loss decreases as the path elevation angle increases and zenith propagation is comparable to much lower bands</w:t>
      </w:r>
      <w:r w:rsidRPr="009D6F7E">
        <w:rPr>
          <w:bCs/>
          <w:lang w:eastAsia="ja-JP"/>
        </w:rPr>
        <w:t xml:space="preserve">.  </w:t>
      </w:r>
    </w:p>
    <w:p w14:paraId="6592072A" w14:textId="77777777" w:rsidR="009A63E4" w:rsidRPr="009D6F7E" w:rsidRDefault="009A63E4" w:rsidP="009A63E4">
      <w:pPr>
        <w:spacing w:before="120"/>
        <w:rPr>
          <w:bCs/>
          <w:lang w:eastAsia="ja-JP"/>
        </w:rPr>
      </w:pPr>
    </w:p>
    <w:tbl>
      <w:tblPr>
        <w:tblW w:w="10260" w:type="dxa"/>
        <w:tblLayout w:type="fixed"/>
        <w:tblLook w:val="0000" w:firstRow="0" w:lastRow="0" w:firstColumn="0" w:lastColumn="0" w:noHBand="0" w:noVBand="0"/>
      </w:tblPr>
      <w:tblGrid>
        <w:gridCol w:w="1260"/>
        <w:gridCol w:w="4410"/>
        <w:gridCol w:w="1080"/>
        <w:gridCol w:w="3510"/>
      </w:tblGrid>
      <w:tr w:rsidR="006B4A9F" w:rsidRPr="009D6F7E" w14:paraId="57F952E9" w14:textId="77777777" w:rsidTr="00402C3A">
        <w:trPr>
          <w:cantSplit/>
        </w:trPr>
        <w:tc>
          <w:tcPr>
            <w:tcW w:w="1260" w:type="dxa"/>
          </w:tcPr>
          <w:p w14:paraId="5A1C3F2B" w14:textId="77777777" w:rsidR="006B4A9F" w:rsidRPr="009D6F7E" w:rsidRDefault="006B4A9F" w:rsidP="00402C3A">
            <w:pPr>
              <w:keepNext/>
              <w:keepLines/>
              <w:rPr>
                <w:b/>
              </w:rPr>
            </w:pPr>
            <w:r w:rsidRPr="009D6F7E">
              <w:rPr>
                <w:b/>
              </w:rPr>
              <w:t>Status:</w:t>
            </w:r>
          </w:p>
        </w:tc>
        <w:tc>
          <w:tcPr>
            <w:tcW w:w="4410" w:type="dxa"/>
          </w:tcPr>
          <w:p w14:paraId="08B02C24" w14:textId="77777777" w:rsidR="006B4A9F" w:rsidRPr="009D6F7E" w:rsidRDefault="006B4A9F" w:rsidP="00402C3A">
            <w:pPr>
              <w:keepNext/>
              <w:keepLines/>
              <w:tabs>
                <w:tab w:val="left" w:pos="709"/>
              </w:tabs>
            </w:pPr>
            <w:r w:rsidRPr="009D6F7E">
              <w:t>For action.</w:t>
            </w:r>
          </w:p>
        </w:tc>
        <w:tc>
          <w:tcPr>
            <w:tcW w:w="4590" w:type="dxa"/>
            <w:gridSpan w:val="2"/>
          </w:tcPr>
          <w:p w14:paraId="699A1A8C" w14:textId="77777777" w:rsidR="006B4A9F" w:rsidRPr="009D6F7E" w:rsidRDefault="006B4A9F" w:rsidP="00402C3A">
            <w:pPr>
              <w:keepNext/>
              <w:keepLines/>
              <w:tabs>
                <w:tab w:val="left" w:pos="709"/>
              </w:tabs>
            </w:pPr>
          </w:p>
        </w:tc>
      </w:tr>
      <w:tr w:rsidR="006B4A9F" w:rsidRPr="009D6F7E" w14:paraId="6E922CFA" w14:textId="77777777" w:rsidTr="00402C3A">
        <w:trPr>
          <w:cantSplit/>
        </w:trPr>
        <w:tc>
          <w:tcPr>
            <w:tcW w:w="1260" w:type="dxa"/>
          </w:tcPr>
          <w:p w14:paraId="12EE9D9F" w14:textId="77777777" w:rsidR="006B4A9F" w:rsidRPr="009D6F7E" w:rsidRDefault="006B4A9F" w:rsidP="00402C3A">
            <w:pPr>
              <w:keepNext/>
              <w:keepLines/>
              <w:rPr>
                <w:b/>
              </w:rPr>
            </w:pPr>
            <w:r w:rsidRPr="009D6F7E">
              <w:rPr>
                <w:b/>
              </w:rPr>
              <w:t>Deadline:</w:t>
            </w:r>
          </w:p>
        </w:tc>
        <w:tc>
          <w:tcPr>
            <w:tcW w:w="4410" w:type="dxa"/>
          </w:tcPr>
          <w:p w14:paraId="6721A298" w14:textId="77777777" w:rsidR="006B4A9F" w:rsidRPr="009D6F7E" w:rsidRDefault="006B4A9F" w:rsidP="00402C3A">
            <w:pPr>
              <w:keepNext/>
              <w:keepLines/>
              <w:tabs>
                <w:tab w:val="left" w:pos="709"/>
              </w:tabs>
            </w:pPr>
            <w:r w:rsidRPr="009D6F7E">
              <w:t>15 May 2021</w:t>
            </w:r>
          </w:p>
        </w:tc>
        <w:tc>
          <w:tcPr>
            <w:tcW w:w="4590" w:type="dxa"/>
            <w:gridSpan w:val="2"/>
          </w:tcPr>
          <w:p w14:paraId="10678626" w14:textId="77777777" w:rsidR="006B4A9F" w:rsidRPr="009D6F7E" w:rsidRDefault="006B4A9F" w:rsidP="00402C3A">
            <w:pPr>
              <w:keepNext/>
              <w:keepLines/>
              <w:tabs>
                <w:tab w:val="left" w:pos="709"/>
              </w:tabs>
            </w:pPr>
          </w:p>
        </w:tc>
      </w:tr>
      <w:tr w:rsidR="006B4A9F" w:rsidRPr="009D6F7E" w14:paraId="56470DAA" w14:textId="77777777" w:rsidTr="00402C3A">
        <w:trPr>
          <w:cantSplit/>
          <w:trHeight w:val="270"/>
        </w:trPr>
        <w:tc>
          <w:tcPr>
            <w:tcW w:w="1260" w:type="dxa"/>
          </w:tcPr>
          <w:p w14:paraId="78D47677" w14:textId="77777777" w:rsidR="006B4A9F" w:rsidRPr="009D6F7E" w:rsidRDefault="006B4A9F" w:rsidP="00402C3A">
            <w:pPr>
              <w:keepNext/>
              <w:keepLines/>
              <w:rPr>
                <w:b/>
              </w:rPr>
            </w:pPr>
            <w:r w:rsidRPr="009D6F7E">
              <w:rPr>
                <w:b/>
              </w:rPr>
              <w:t>Contact:</w:t>
            </w:r>
          </w:p>
        </w:tc>
        <w:tc>
          <w:tcPr>
            <w:tcW w:w="4410" w:type="dxa"/>
          </w:tcPr>
          <w:p w14:paraId="09D1B8FB" w14:textId="77777777" w:rsidR="006B4A9F" w:rsidRPr="009D6F7E" w:rsidRDefault="006B4A9F" w:rsidP="00402C3A">
            <w:pPr>
              <w:keepNext/>
              <w:keepLines/>
              <w:tabs>
                <w:tab w:val="center" w:pos="7230"/>
              </w:tabs>
            </w:pPr>
          </w:p>
        </w:tc>
        <w:tc>
          <w:tcPr>
            <w:tcW w:w="1080" w:type="dxa"/>
          </w:tcPr>
          <w:p w14:paraId="4DB23180" w14:textId="77777777" w:rsidR="006B4A9F" w:rsidRPr="009D6F7E" w:rsidRDefault="006B4A9F" w:rsidP="00402C3A">
            <w:pPr>
              <w:keepNext/>
              <w:keepLines/>
              <w:tabs>
                <w:tab w:val="left" w:pos="884"/>
              </w:tabs>
              <w:rPr>
                <w:b/>
                <w:bCs/>
              </w:rPr>
            </w:pPr>
            <w:r w:rsidRPr="009D6F7E">
              <w:rPr>
                <w:b/>
                <w:bCs/>
              </w:rPr>
              <w:t>E-mails</w:t>
            </w:r>
            <w:r w:rsidRPr="009D6F7E">
              <w:t>:</w:t>
            </w:r>
          </w:p>
        </w:tc>
        <w:tc>
          <w:tcPr>
            <w:tcW w:w="3510" w:type="dxa"/>
          </w:tcPr>
          <w:p w14:paraId="4821DDCE" w14:textId="77777777" w:rsidR="006B4A9F" w:rsidRPr="009D6F7E" w:rsidRDefault="006B4A9F" w:rsidP="00402C3A">
            <w:pPr>
              <w:keepNext/>
              <w:keepLines/>
              <w:tabs>
                <w:tab w:val="left" w:pos="884"/>
              </w:tabs>
            </w:pPr>
          </w:p>
        </w:tc>
      </w:tr>
    </w:tbl>
    <w:p w14:paraId="7EE406D3" w14:textId="77777777" w:rsidR="006B4A9F" w:rsidRDefault="006B4A9F" w:rsidP="006B4A9F">
      <w:pPr>
        <w:rPr>
          <w:bCs/>
          <w:lang w:eastAsia="ja-JP"/>
        </w:rPr>
      </w:pPr>
    </w:p>
    <w:p w14:paraId="0CE6C537" w14:textId="77777777" w:rsidR="006B4A9F" w:rsidRDefault="006B4A9F" w:rsidP="006B4A9F">
      <w:pPr>
        <w:rPr>
          <w:bCs/>
          <w:lang w:eastAsia="ja-JP"/>
        </w:rPr>
      </w:pPr>
      <w:r>
        <w:rPr>
          <w:bCs/>
          <w:lang w:eastAsia="ja-JP"/>
        </w:rPr>
        <w:br w:type="page"/>
      </w:r>
    </w:p>
    <w:p w14:paraId="0C288C80" w14:textId="77777777" w:rsidR="006B4A9F" w:rsidRPr="009D6F7E" w:rsidRDefault="006B4A9F" w:rsidP="006B4A9F">
      <w:pPr>
        <w:rPr>
          <w:lang w:val="fr-FR" w:eastAsia="zh-CN"/>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B4A9F" w:rsidRPr="009D6F7E" w14:paraId="75442B0E" w14:textId="77777777" w:rsidTr="00402C3A">
        <w:trPr>
          <w:cantSplit/>
        </w:trPr>
        <w:tc>
          <w:tcPr>
            <w:tcW w:w="6487" w:type="dxa"/>
            <w:vAlign w:val="center"/>
          </w:tcPr>
          <w:p w14:paraId="0AA2C2DA" w14:textId="77777777" w:rsidR="006B4A9F" w:rsidRPr="009D6F7E" w:rsidRDefault="006B4A9F" w:rsidP="00402C3A">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2119C917" w14:textId="77777777" w:rsidR="006B4A9F" w:rsidRPr="009D6F7E" w:rsidRDefault="006B4A9F" w:rsidP="00402C3A">
            <w:pPr>
              <w:shd w:val="solid" w:color="FFFFFF" w:fill="FFFFFF"/>
              <w:spacing w:line="240" w:lineRule="atLeast"/>
            </w:pPr>
            <w:r w:rsidRPr="00D01434">
              <w:rPr>
                <w:noProof/>
              </w:rPr>
              <w:drawing>
                <wp:inline distT="0" distB="0" distL="0" distR="0" wp14:anchorId="43D6D444" wp14:editId="239A1DD4">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B4A9F" w:rsidRPr="009D6F7E" w14:paraId="356F4A3E" w14:textId="77777777" w:rsidTr="00402C3A">
        <w:trPr>
          <w:cantSplit/>
        </w:trPr>
        <w:tc>
          <w:tcPr>
            <w:tcW w:w="6487" w:type="dxa"/>
            <w:tcBorders>
              <w:bottom w:val="single" w:sz="12" w:space="0" w:color="auto"/>
            </w:tcBorders>
          </w:tcPr>
          <w:p w14:paraId="53349EA9" w14:textId="77777777" w:rsidR="006B4A9F" w:rsidRPr="009D6F7E" w:rsidRDefault="006B4A9F" w:rsidP="00402C3A">
            <w:pPr>
              <w:shd w:val="solid" w:color="FFFFFF" w:fill="FFFFFF"/>
              <w:spacing w:after="48"/>
              <w:rPr>
                <w:rFonts w:ascii="Verdana" w:hAnsi="Verdana" w:cs="Times New Roman Bold"/>
                <w:b/>
              </w:rPr>
            </w:pPr>
          </w:p>
        </w:tc>
        <w:tc>
          <w:tcPr>
            <w:tcW w:w="3402" w:type="dxa"/>
            <w:tcBorders>
              <w:bottom w:val="single" w:sz="12" w:space="0" w:color="auto"/>
            </w:tcBorders>
          </w:tcPr>
          <w:p w14:paraId="24B7ACDC" w14:textId="77777777" w:rsidR="006B4A9F" w:rsidRPr="009D6F7E" w:rsidRDefault="006B4A9F" w:rsidP="00402C3A">
            <w:pPr>
              <w:shd w:val="solid" w:color="FFFFFF" w:fill="FFFFFF"/>
              <w:spacing w:after="48" w:line="240" w:lineRule="atLeast"/>
            </w:pPr>
          </w:p>
        </w:tc>
      </w:tr>
      <w:tr w:rsidR="006B4A9F" w:rsidRPr="009D6F7E" w14:paraId="76D05EE0" w14:textId="77777777" w:rsidTr="00402C3A">
        <w:trPr>
          <w:cantSplit/>
        </w:trPr>
        <w:tc>
          <w:tcPr>
            <w:tcW w:w="6487" w:type="dxa"/>
            <w:tcBorders>
              <w:top w:val="single" w:sz="12" w:space="0" w:color="auto"/>
            </w:tcBorders>
          </w:tcPr>
          <w:p w14:paraId="097FE998" w14:textId="77777777" w:rsidR="006B4A9F" w:rsidRPr="009D6F7E" w:rsidRDefault="006B4A9F" w:rsidP="00402C3A">
            <w:pPr>
              <w:shd w:val="solid" w:color="FFFFFF" w:fill="FFFFFF"/>
              <w:spacing w:after="48"/>
              <w:rPr>
                <w:rFonts w:ascii="Verdana" w:hAnsi="Verdana" w:cs="Times New Roman Bold"/>
                <w:bCs/>
              </w:rPr>
            </w:pPr>
          </w:p>
        </w:tc>
        <w:tc>
          <w:tcPr>
            <w:tcW w:w="3402" w:type="dxa"/>
            <w:tcBorders>
              <w:top w:val="single" w:sz="12" w:space="0" w:color="auto"/>
            </w:tcBorders>
          </w:tcPr>
          <w:p w14:paraId="0B31211F" w14:textId="77777777" w:rsidR="006B4A9F" w:rsidRPr="009D6F7E" w:rsidRDefault="006B4A9F" w:rsidP="00402C3A">
            <w:pPr>
              <w:shd w:val="solid" w:color="FFFFFF" w:fill="FFFFFF"/>
              <w:spacing w:after="48" w:line="240" w:lineRule="atLeast"/>
            </w:pPr>
          </w:p>
        </w:tc>
      </w:tr>
      <w:tr w:rsidR="006B4A9F" w:rsidRPr="009D6F7E" w14:paraId="045FC908" w14:textId="77777777" w:rsidTr="00402C3A">
        <w:trPr>
          <w:cantSplit/>
        </w:trPr>
        <w:tc>
          <w:tcPr>
            <w:tcW w:w="6487" w:type="dxa"/>
            <w:vMerge w:val="restart"/>
          </w:tcPr>
          <w:p w14:paraId="32D4B58E" w14:textId="77777777" w:rsidR="006B4A9F" w:rsidRPr="009D6F7E" w:rsidRDefault="006B4A9F" w:rsidP="00402C3A">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2545DDEE"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6B4A9F" w:rsidRPr="009D6F7E" w14:paraId="5AE98A8C" w14:textId="77777777" w:rsidTr="00402C3A">
        <w:trPr>
          <w:cantSplit/>
        </w:trPr>
        <w:tc>
          <w:tcPr>
            <w:tcW w:w="6487" w:type="dxa"/>
            <w:vMerge/>
          </w:tcPr>
          <w:p w14:paraId="69AFFC04" w14:textId="77777777" w:rsidR="006B4A9F" w:rsidRPr="009D6F7E" w:rsidRDefault="006B4A9F" w:rsidP="00402C3A">
            <w:pPr>
              <w:spacing w:before="60"/>
              <w:jc w:val="center"/>
              <w:rPr>
                <w:b/>
                <w:smallCaps/>
                <w:sz w:val="32"/>
                <w:lang w:eastAsia="zh-CN"/>
              </w:rPr>
            </w:pPr>
          </w:p>
        </w:tc>
        <w:tc>
          <w:tcPr>
            <w:tcW w:w="3402" w:type="dxa"/>
          </w:tcPr>
          <w:p w14:paraId="1F640391" w14:textId="77777777" w:rsidR="006B4A9F" w:rsidRPr="009D6F7E" w:rsidRDefault="006B4A9F" w:rsidP="00402C3A">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6B4A9F" w:rsidRPr="009D6F7E" w14:paraId="0D5EDBF7" w14:textId="77777777" w:rsidTr="00402C3A">
        <w:trPr>
          <w:cantSplit/>
        </w:trPr>
        <w:tc>
          <w:tcPr>
            <w:tcW w:w="6487" w:type="dxa"/>
            <w:vMerge/>
          </w:tcPr>
          <w:p w14:paraId="4C74F187" w14:textId="77777777" w:rsidR="006B4A9F" w:rsidRPr="009D6F7E" w:rsidRDefault="006B4A9F" w:rsidP="00402C3A">
            <w:pPr>
              <w:spacing w:before="60"/>
              <w:jc w:val="center"/>
              <w:rPr>
                <w:b/>
                <w:smallCaps/>
                <w:sz w:val="32"/>
                <w:lang w:eastAsia="zh-CN"/>
              </w:rPr>
            </w:pPr>
          </w:p>
        </w:tc>
        <w:tc>
          <w:tcPr>
            <w:tcW w:w="3402" w:type="dxa"/>
          </w:tcPr>
          <w:p w14:paraId="3D62ABA0" w14:textId="77777777" w:rsidR="006B4A9F" w:rsidRPr="009D6F7E" w:rsidRDefault="006B4A9F" w:rsidP="00402C3A">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6B4A9F" w:rsidRPr="009D6F7E" w14:paraId="4999AF60" w14:textId="77777777" w:rsidTr="00402C3A">
        <w:trPr>
          <w:cantSplit/>
        </w:trPr>
        <w:tc>
          <w:tcPr>
            <w:tcW w:w="9889" w:type="dxa"/>
            <w:gridSpan w:val="2"/>
          </w:tcPr>
          <w:p w14:paraId="0B29471C" w14:textId="77777777" w:rsidR="006B4A9F" w:rsidRPr="009D6F7E" w:rsidRDefault="006B4A9F" w:rsidP="00402C3A">
            <w:pPr>
              <w:pStyle w:val="Source"/>
              <w:rPr>
                <w:lang w:eastAsia="zh-CN"/>
              </w:rPr>
            </w:pPr>
            <w:r w:rsidRPr="009D6F7E">
              <w:rPr>
                <w:lang w:eastAsia="zh-CN"/>
              </w:rPr>
              <w:t>Working Party 1A</w:t>
            </w:r>
          </w:p>
        </w:tc>
      </w:tr>
      <w:tr w:rsidR="006B4A9F" w:rsidRPr="009D6F7E" w14:paraId="00F00B66" w14:textId="77777777" w:rsidTr="00402C3A">
        <w:trPr>
          <w:cantSplit/>
        </w:trPr>
        <w:tc>
          <w:tcPr>
            <w:tcW w:w="9889" w:type="dxa"/>
            <w:gridSpan w:val="2"/>
          </w:tcPr>
          <w:p w14:paraId="27E9C42D" w14:textId="761CF632" w:rsidR="006B4A9F" w:rsidRPr="009D6F7E" w:rsidRDefault="006B4A9F" w:rsidP="00402C3A">
            <w:pPr>
              <w:pStyle w:val="Title1"/>
              <w:rPr>
                <w:lang w:eastAsia="zh-CN"/>
              </w:rPr>
            </w:pPr>
            <w:r w:rsidRPr="009D6F7E">
              <w:rPr>
                <w:lang w:eastAsia="zh-CN"/>
              </w:rPr>
              <w:t>DRAFT LIAISON STATEMENT TO Working PartY</w:t>
            </w:r>
            <w:r w:rsidR="009A63E4">
              <w:rPr>
                <w:lang w:eastAsia="zh-CN"/>
              </w:rPr>
              <w:t xml:space="preserve"> </w:t>
            </w:r>
            <w:r w:rsidRPr="009D6F7E">
              <w:rPr>
                <w:lang w:eastAsia="zh-CN"/>
              </w:rPr>
              <w:t>7C AND 7D</w:t>
            </w:r>
          </w:p>
          <w:p w14:paraId="4E17C511" w14:textId="18F28017" w:rsidR="006B4A9F" w:rsidRPr="009D6F7E" w:rsidRDefault="006B4A9F" w:rsidP="009A63E4">
            <w:pPr>
              <w:jc w:val="center"/>
              <w:rPr>
                <w:lang w:eastAsia="zh-CN"/>
              </w:rPr>
            </w:pPr>
          </w:p>
        </w:tc>
      </w:tr>
      <w:tr w:rsidR="006B4A9F" w:rsidRPr="009D6F7E" w14:paraId="4667F547" w14:textId="77777777" w:rsidTr="00402C3A">
        <w:trPr>
          <w:cantSplit/>
        </w:trPr>
        <w:tc>
          <w:tcPr>
            <w:tcW w:w="9889" w:type="dxa"/>
            <w:gridSpan w:val="2"/>
          </w:tcPr>
          <w:p w14:paraId="13F202F4" w14:textId="7C254E19" w:rsidR="006B4A9F" w:rsidRPr="009D6F7E" w:rsidRDefault="006B4A9F" w:rsidP="00402C3A">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Resolution 731 </w:t>
            </w:r>
            <w:r w:rsidR="00E62425">
              <w:rPr>
                <w:lang w:eastAsia="zh-CN"/>
              </w:rPr>
              <w:t>(Rev.</w:t>
            </w:r>
            <w:r w:rsidR="00E62425" w:rsidRPr="009D6F7E">
              <w:rPr>
                <w:lang w:eastAsia="zh-CN"/>
              </w:rPr>
              <w:t xml:space="preserve"> WRC-19</w:t>
            </w:r>
            <w:r w:rsidR="00E62425">
              <w:rPr>
                <w:lang w:eastAsia="zh-CN"/>
              </w:rPr>
              <w:t>)</w:t>
            </w:r>
          </w:p>
        </w:tc>
      </w:tr>
    </w:tbl>
    <w:p w14:paraId="1D397156" w14:textId="302505A5" w:rsidR="006B4A9F" w:rsidRPr="00345F8D" w:rsidRDefault="006B4A9F" w:rsidP="009A63E4">
      <w:pPr>
        <w:spacing w:before="120"/>
        <w:rPr>
          <w:lang w:eastAsia="zh-CN"/>
        </w:rPr>
      </w:pPr>
      <w:r w:rsidRPr="00345F8D">
        <w:rPr>
          <w:lang w:eastAsia="zh-CN"/>
        </w:rPr>
        <w:t xml:space="preserve">In accordance with </w:t>
      </w:r>
      <w:r w:rsidRPr="009A63E4">
        <w:rPr>
          <w:i/>
          <w:lang w:eastAsia="zh-CN"/>
        </w:rPr>
        <w:t xml:space="preserve">invites </w:t>
      </w:r>
      <w:r w:rsidR="00E41AEB">
        <w:rPr>
          <w:i/>
          <w:lang w:eastAsia="zh-CN"/>
        </w:rPr>
        <w:t xml:space="preserve">the </w:t>
      </w:r>
      <w:r w:rsidRPr="009A63E4">
        <w:rPr>
          <w:i/>
          <w:lang w:eastAsia="zh-CN"/>
        </w:rPr>
        <w:t>ITU-R 1</w:t>
      </w:r>
      <w:r w:rsidRPr="00345F8D">
        <w:rPr>
          <w:lang w:eastAsia="zh-CN"/>
        </w:rPr>
        <w:t xml:space="preserve"> of Resolution </w:t>
      </w:r>
      <w:r w:rsidRPr="009A63E4">
        <w:rPr>
          <w:b/>
          <w:lang w:eastAsia="zh-CN"/>
        </w:rPr>
        <w:t>731</w:t>
      </w:r>
      <w:r w:rsidR="00E62425" w:rsidRPr="009A63E4">
        <w:rPr>
          <w:b/>
          <w:lang w:eastAsia="zh-CN"/>
        </w:rPr>
        <w:t xml:space="preserve"> (Rev. WRC-19)</w:t>
      </w:r>
      <w:r w:rsidRPr="00345F8D">
        <w:rPr>
          <w:lang w:eastAsia="zh-CN"/>
        </w:rPr>
        <w:t>, Working Party (WP) 1A is considering whether</w:t>
      </w:r>
      <w:r w:rsidR="009A63E4">
        <w:rPr>
          <w:lang w:eastAsia="zh-CN"/>
        </w:rPr>
        <w:t>,</w:t>
      </w:r>
      <w:r w:rsidRPr="00345F8D">
        <w:rPr>
          <w:lang w:eastAsia="zh-CN"/>
        </w:rPr>
        <w:t xml:space="preserve"> and under what technical conditions</w:t>
      </w:r>
      <w:r w:rsidR="009A63E4">
        <w:rPr>
          <w:lang w:eastAsia="zh-CN"/>
        </w:rPr>
        <w:t>,</w:t>
      </w:r>
      <w:r w:rsidRPr="00345F8D">
        <w:rPr>
          <w:lang w:eastAsia="zh-CN"/>
        </w:rPr>
        <w:t xml:space="preserve"> sharing is possible between active and passive services in the frequency bands above 71 GHz.  </w:t>
      </w:r>
      <w:r w:rsidRPr="00345F8D">
        <w:rPr>
          <w:bCs/>
          <w:lang w:eastAsia="ja-JP"/>
        </w:rPr>
        <w:t>WP 1A would be pleased to cooperate with Study Group 7, including WP 7C and WP 7D, in this effort.</w:t>
      </w:r>
    </w:p>
    <w:p w14:paraId="3FBDA571" w14:textId="477EAAC1" w:rsidR="006B4A9F" w:rsidRPr="00345F8D" w:rsidRDefault="006B4A9F" w:rsidP="009A63E4">
      <w:pPr>
        <w:spacing w:before="120"/>
        <w:rPr>
          <w:lang w:eastAsia="zh-CN"/>
        </w:rPr>
      </w:pPr>
      <w:r w:rsidRPr="00345F8D">
        <w:rPr>
          <w:lang w:eastAsia="zh-CN"/>
        </w:rPr>
        <w:t xml:space="preserve">For the purpose of conducting timely studies on Res. </w:t>
      </w:r>
      <w:r w:rsidRPr="009A63E4">
        <w:rPr>
          <w:b/>
          <w:lang w:eastAsia="zh-CN"/>
        </w:rPr>
        <w:t>731</w:t>
      </w:r>
      <w:r w:rsidRPr="00345F8D">
        <w:rPr>
          <w:lang w:eastAsia="zh-CN"/>
        </w:rPr>
        <w:t xml:space="preserve"> to protect earth exploration-satellite service (EESS) (passive) and radio astronomy (RAS) sensors above 71 GHz, WP 1A requests the viewpoints of WP 7C and 7D on its planned approach to addressing this complex sharing issue.  </w:t>
      </w:r>
    </w:p>
    <w:p w14:paraId="6980B88A" w14:textId="77777777" w:rsidR="006B4A9F" w:rsidRPr="00345F8D" w:rsidRDefault="006B4A9F" w:rsidP="009A63E4">
      <w:pPr>
        <w:spacing w:before="120"/>
        <w:rPr>
          <w:lang w:eastAsia="zh-CN"/>
        </w:rPr>
      </w:pPr>
      <w:r w:rsidRPr="00345F8D">
        <w:rPr>
          <w:lang w:eastAsia="zh-CN"/>
        </w:rPr>
        <w:t xml:space="preserve">In studies for Report  ITU-R  F.2239 and for WRC-19 AI 1.15, the basic approach taken was to start with assumptions for fixed service (FS) transmitter characteristics and specific deployments in specific band ranges and to study the impact on EESS (passive) systems using the protection level given in Recommendation ITU-R RS.2017.  In a parallel liaison statement, WP5C is being asked for system characteristics including antenna parameters and deployment models.  </w:t>
      </w:r>
    </w:p>
    <w:p w14:paraId="0A3473D5" w14:textId="0FC20AFA" w:rsidR="006B4A9F" w:rsidRPr="00345F8D" w:rsidRDefault="006B4A9F" w:rsidP="009A63E4">
      <w:pPr>
        <w:spacing w:before="120"/>
        <w:rPr>
          <w:bCs/>
          <w:lang w:eastAsia="ja-JP"/>
        </w:rPr>
      </w:pPr>
      <w:r w:rsidRPr="00345F8D">
        <w:rPr>
          <w:lang w:eastAsia="zh-CN"/>
        </w:rPr>
        <w:t xml:space="preserve">To this </w:t>
      </w:r>
      <w:r w:rsidR="00CF0386" w:rsidRPr="00345F8D">
        <w:rPr>
          <w:lang w:eastAsia="zh-CN"/>
        </w:rPr>
        <w:t>end,</w:t>
      </w:r>
      <w:r w:rsidRPr="00345F8D">
        <w:rPr>
          <w:lang w:eastAsia="zh-CN"/>
        </w:rPr>
        <w:t xml:space="preserve"> we are considering a different approach for a new proposed technical evaluation of mitigation methods and seek your inputs</w:t>
      </w:r>
      <w:r>
        <w:rPr>
          <w:bCs/>
          <w:lang w:eastAsia="ja-JP"/>
        </w:rPr>
        <w:t xml:space="preserve">.  </w:t>
      </w:r>
      <w:r w:rsidRPr="00345F8D">
        <w:rPr>
          <w:bCs/>
          <w:lang w:eastAsia="ja-JP"/>
        </w:rPr>
        <w:t xml:space="preserve">WP 1A is considering developing a method of calculating an EIRP mask as a function of elevation angle to determine the impact between the fixed service and passive services in the </w:t>
      </w:r>
      <w:r w:rsidRPr="009D6F7E">
        <w:rPr>
          <w:bCs/>
        </w:rPr>
        <w:t>passive bands above 71 GHz</w:t>
      </w:r>
      <w:r w:rsidRPr="00345F8D">
        <w:rPr>
          <w:bCs/>
          <w:lang w:eastAsia="ja-JP"/>
        </w:rPr>
        <w:t xml:space="preserve">.  Aggregate interference potential is a key issue so the study will review the maximum geographic density of FS transmitters in these bands that is consistent with interference-free sharing taking into account the effects of aggregate interference and as invited in Resolution </w:t>
      </w:r>
      <w:r w:rsidRPr="00E41AEB">
        <w:rPr>
          <w:b/>
          <w:bCs/>
          <w:lang w:eastAsia="ja-JP"/>
        </w:rPr>
        <w:t>731</w:t>
      </w:r>
      <w:r w:rsidRPr="00345F8D">
        <w:rPr>
          <w:bCs/>
          <w:lang w:eastAsia="ja-JP"/>
        </w:rPr>
        <w:t xml:space="preserve">.  </w:t>
      </w:r>
    </w:p>
    <w:p w14:paraId="194C62DC" w14:textId="77777777" w:rsidR="006B4A9F" w:rsidRPr="00345F8D" w:rsidRDefault="006B4A9F" w:rsidP="009A63E4">
      <w:pPr>
        <w:spacing w:before="120"/>
        <w:rPr>
          <w:lang w:eastAsia="zh-CN"/>
        </w:rPr>
      </w:pPr>
      <w:r w:rsidRPr="00345F8D">
        <w:rPr>
          <w:lang w:eastAsia="zh-CN"/>
        </w:rPr>
        <w:t>WP1A notes that RAS facilities at these frequencies are typically located in remote and/or high altitude, arid sites in order to avoid terrestrial interference and reduce atmospheric absorption.  These facilities are best protected by geographic exclusion and coordination zones, and studies should be completed, including aggregate interference, to determine whether sharing is feasible and under what conditions. For the RAS service, it is noted that Figures 1 and 2 in Recommendation ITU-R RA.1031-2 only go up to 40 GHz and Report ITU-R RA.2189-1 begins considering sharing and compatibility at 275 GHz.  It is kindly requested that WP 7D provide updates to the relevant Recommendation and/or Report for the frequency range 71 GHz – 275 GHz.</w:t>
      </w:r>
    </w:p>
    <w:p w14:paraId="22795968" w14:textId="77777777" w:rsidR="006B4A9F" w:rsidRPr="00345F8D" w:rsidRDefault="006B4A9F" w:rsidP="009A63E4">
      <w:pPr>
        <w:spacing w:before="120"/>
        <w:rPr>
          <w:bCs/>
          <w:lang w:eastAsia="ja-JP"/>
        </w:rPr>
      </w:pPr>
      <w:r w:rsidRPr="00345F8D">
        <w:rPr>
          <w:bCs/>
          <w:lang w:eastAsia="ja-JP"/>
        </w:rPr>
        <w:t>WP 7C is invited to provide information on these topics for EESS (passive) sensors operating in the ranges around the passive bands</w:t>
      </w:r>
      <w:r w:rsidRPr="009D6F7E">
        <w:rPr>
          <w:bCs/>
          <w:lang w:eastAsia="ja-JP"/>
        </w:rPr>
        <w:t xml:space="preserve"> above 71 GHz.</w:t>
      </w:r>
    </w:p>
    <w:p w14:paraId="2467A933" w14:textId="77777777" w:rsidR="006B4A9F" w:rsidRPr="00345F8D" w:rsidRDefault="006B4A9F" w:rsidP="009A63E4">
      <w:pPr>
        <w:spacing w:before="120"/>
        <w:rPr>
          <w:bCs/>
          <w:strike/>
          <w:lang w:eastAsia="ja-JP"/>
        </w:rPr>
      </w:pPr>
      <w:r w:rsidRPr="00345F8D">
        <w:rPr>
          <w:bCs/>
          <w:lang w:eastAsia="ja-JP"/>
        </w:rPr>
        <w:t xml:space="preserve">WP 7D is invited to provide information on these topics for RAS sensors in the frequency range 71 GHz – 275 GHz, including those bands allocated to the RAS service and those frequency bands immediately adjacent to RAS allocations.   </w:t>
      </w:r>
    </w:p>
    <w:p w14:paraId="37D2C8C5" w14:textId="77777777" w:rsidR="006B4A9F" w:rsidRPr="00345F8D" w:rsidRDefault="006B4A9F" w:rsidP="006B4A9F">
      <w:pPr>
        <w:rPr>
          <w:bCs/>
          <w:lang w:eastAsia="ja-JP"/>
        </w:rPr>
      </w:pPr>
    </w:p>
    <w:p w14:paraId="2C6CECBC" w14:textId="77777777" w:rsidR="006B4A9F" w:rsidRPr="00F3422C" w:rsidRDefault="006B4A9F" w:rsidP="006B4A9F">
      <w:pPr>
        <w:rPr>
          <w:bCs/>
          <w:lang w:eastAsia="ja-JP"/>
        </w:rPr>
      </w:pPr>
    </w:p>
    <w:p w14:paraId="69C2A07E" w14:textId="77777777" w:rsidR="006B4A9F" w:rsidRPr="00F3422C" w:rsidRDefault="006B4A9F" w:rsidP="006B4A9F">
      <w:pPr>
        <w:keepNext/>
        <w:keepLines/>
        <w:rPr>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6B4A9F" w:rsidRPr="00F3422C" w14:paraId="52372598" w14:textId="77777777" w:rsidTr="00402C3A">
        <w:trPr>
          <w:cantSplit/>
        </w:trPr>
        <w:tc>
          <w:tcPr>
            <w:tcW w:w="1260" w:type="dxa"/>
          </w:tcPr>
          <w:p w14:paraId="6A93E474" w14:textId="77777777" w:rsidR="006B4A9F" w:rsidRPr="00F3422C" w:rsidRDefault="006B4A9F" w:rsidP="00402C3A">
            <w:pPr>
              <w:keepNext/>
              <w:keepLines/>
              <w:rPr>
                <w:b/>
              </w:rPr>
            </w:pPr>
            <w:r w:rsidRPr="00F3422C">
              <w:rPr>
                <w:b/>
              </w:rPr>
              <w:t>Status:</w:t>
            </w:r>
          </w:p>
        </w:tc>
        <w:tc>
          <w:tcPr>
            <w:tcW w:w="4410" w:type="dxa"/>
          </w:tcPr>
          <w:p w14:paraId="46B01872" w14:textId="77777777" w:rsidR="006B4A9F" w:rsidRPr="00F3422C" w:rsidRDefault="006B4A9F" w:rsidP="00402C3A">
            <w:pPr>
              <w:keepNext/>
              <w:keepLines/>
              <w:tabs>
                <w:tab w:val="left" w:pos="709"/>
              </w:tabs>
            </w:pPr>
            <w:r w:rsidRPr="00F3422C">
              <w:t>For action.</w:t>
            </w:r>
          </w:p>
        </w:tc>
        <w:tc>
          <w:tcPr>
            <w:tcW w:w="4590" w:type="dxa"/>
            <w:gridSpan w:val="2"/>
          </w:tcPr>
          <w:p w14:paraId="6CA6B33D" w14:textId="77777777" w:rsidR="006B4A9F" w:rsidRPr="00F3422C" w:rsidRDefault="006B4A9F" w:rsidP="00402C3A">
            <w:pPr>
              <w:keepNext/>
              <w:keepLines/>
              <w:tabs>
                <w:tab w:val="left" w:pos="709"/>
              </w:tabs>
            </w:pPr>
          </w:p>
        </w:tc>
      </w:tr>
      <w:tr w:rsidR="006B4A9F" w:rsidRPr="00F3422C" w14:paraId="4C28F99E" w14:textId="77777777" w:rsidTr="00402C3A">
        <w:trPr>
          <w:cantSplit/>
        </w:trPr>
        <w:tc>
          <w:tcPr>
            <w:tcW w:w="1260" w:type="dxa"/>
          </w:tcPr>
          <w:p w14:paraId="28AA0A91" w14:textId="77777777" w:rsidR="006B4A9F" w:rsidRPr="00F3422C" w:rsidRDefault="006B4A9F" w:rsidP="00402C3A">
            <w:pPr>
              <w:keepNext/>
              <w:keepLines/>
              <w:rPr>
                <w:b/>
              </w:rPr>
            </w:pPr>
            <w:r w:rsidRPr="00F3422C">
              <w:rPr>
                <w:b/>
              </w:rPr>
              <w:t>Deadline:</w:t>
            </w:r>
          </w:p>
        </w:tc>
        <w:tc>
          <w:tcPr>
            <w:tcW w:w="4410" w:type="dxa"/>
          </w:tcPr>
          <w:p w14:paraId="1E64280E" w14:textId="77777777" w:rsidR="006B4A9F" w:rsidRPr="00F3422C" w:rsidRDefault="006B4A9F" w:rsidP="00402C3A">
            <w:pPr>
              <w:keepNext/>
              <w:keepLines/>
              <w:tabs>
                <w:tab w:val="left" w:pos="709"/>
              </w:tabs>
            </w:pPr>
            <w:r w:rsidRPr="00F3422C">
              <w:t>_15 May 2021________ at the latest.</w:t>
            </w:r>
          </w:p>
        </w:tc>
        <w:tc>
          <w:tcPr>
            <w:tcW w:w="4590" w:type="dxa"/>
            <w:gridSpan w:val="2"/>
          </w:tcPr>
          <w:p w14:paraId="03617097" w14:textId="77777777" w:rsidR="006B4A9F" w:rsidRPr="00F3422C" w:rsidRDefault="006B4A9F" w:rsidP="00402C3A">
            <w:pPr>
              <w:keepNext/>
              <w:keepLines/>
              <w:tabs>
                <w:tab w:val="left" w:pos="709"/>
              </w:tabs>
            </w:pPr>
          </w:p>
        </w:tc>
      </w:tr>
      <w:tr w:rsidR="006B4A9F" w:rsidRPr="00F3422C" w14:paraId="142A0414" w14:textId="77777777" w:rsidTr="00402C3A">
        <w:trPr>
          <w:cantSplit/>
          <w:trHeight w:val="270"/>
        </w:trPr>
        <w:tc>
          <w:tcPr>
            <w:tcW w:w="1260" w:type="dxa"/>
          </w:tcPr>
          <w:p w14:paraId="5AFCF50B" w14:textId="77777777" w:rsidR="006B4A9F" w:rsidRPr="00F3422C" w:rsidRDefault="006B4A9F" w:rsidP="00402C3A">
            <w:pPr>
              <w:keepNext/>
              <w:keepLines/>
              <w:rPr>
                <w:b/>
              </w:rPr>
            </w:pPr>
            <w:r w:rsidRPr="00F3422C">
              <w:rPr>
                <w:b/>
              </w:rPr>
              <w:t>Contact:</w:t>
            </w:r>
          </w:p>
        </w:tc>
        <w:tc>
          <w:tcPr>
            <w:tcW w:w="4410" w:type="dxa"/>
          </w:tcPr>
          <w:p w14:paraId="35518E40" w14:textId="77777777" w:rsidR="006B4A9F" w:rsidRPr="00F3422C" w:rsidRDefault="006B4A9F" w:rsidP="00402C3A">
            <w:pPr>
              <w:keepNext/>
              <w:keepLines/>
              <w:tabs>
                <w:tab w:val="center" w:pos="7230"/>
              </w:tabs>
            </w:pPr>
          </w:p>
        </w:tc>
        <w:tc>
          <w:tcPr>
            <w:tcW w:w="1080" w:type="dxa"/>
          </w:tcPr>
          <w:p w14:paraId="14CAEC45" w14:textId="77777777" w:rsidR="006B4A9F" w:rsidRPr="00F3422C" w:rsidRDefault="006B4A9F" w:rsidP="00402C3A">
            <w:pPr>
              <w:keepNext/>
              <w:keepLines/>
              <w:tabs>
                <w:tab w:val="left" w:pos="884"/>
              </w:tabs>
              <w:rPr>
                <w:b/>
                <w:bCs/>
              </w:rPr>
            </w:pPr>
            <w:r w:rsidRPr="00F3422C">
              <w:rPr>
                <w:b/>
                <w:bCs/>
              </w:rPr>
              <w:t>E-mails</w:t>
            </w:r>
            <w:r w:rsidRPr="00F3422C">
              <w:t>:</w:t>
            </w:r>
          </w:p>
        </w:tc>
        <w:tc>
          <w:tcPr>
            <w:tcW w:w="3510" w:type="dxa"/>
          </w:tcPr>
          <w:p w14:paraId="47D6BD53" w14:textId="77777777" w:rsidR="006B4A9F" w:rsidRPr="00F3422C" w:rsidRDefault="006B4A9F" w:rsidP="00402C3A">
            <w:pPr>
              <w:keepNext/>
              <w:keepLines/>
              <w:tabs>
                <w:tab w:val="left" w:pos="884"/>
              </w:tabs>
            </w:pPr>
          </w:p>
        </w:tc>
      </w:tr>
      <w:tr w:rsidR="006B4A9F" w14:paraId="785C08D2" w14:textId="77777777" w:rsidTr="00402C3A">
        <w:trPr>
          <w:cantSplit/>
          <w:trHeight w:val="270"/>
        </w:trPr>
        <w:tc>
          <w:tcPr>
            <w:tcW w:w="1260" w:type="dxa"/>
          </w:tcPr>
          <w:p w14:paraId="2AEB2E76" w14:textId="77777777" w:rsidR="006B4A9F" w:rsidRDefault="006B4A9F" w:rsidP="00402C3A">
            <w:pPr>
              <w:keepNext/>
              <w:keepLines/>
              <w:rPr>
                <w:b/>
              </w:rPr>
            </w:pPr>
          </w:p>
        </w:tc>
        <w:tc>
          <w:tcPr>
            <w:tcW w:w="4410" w:type="dxa"/>
          </w:tcPr>
          <w:p w14:paraId="1B622B61" w14:textId="77777777" w:rsidR="006B4A9F" w:rsidRPr="007A6E94" w:rsidRDefault="006B4A9F" w:rsidP="00402C3A">
            <w:pPr>
              <w:keepNext/>
              <w:keepLines/>
              <w:tabs>
                <w:tab w:val="center" w:pos="7230"/>
              </w:tabs>
            </w:pPr>
          </w:p>
        </w:tc>
        <w:tc>
          <w:tcPr>
            <w:tcW w:w="1080" w:type="dxa"/>
          </w:tcPr>
          <w:p w14:paraId="2026D8CB" w14:textId="77777777" w:rsidR="006B4A9F" w:rsidRPr="007A6E94" w:rsidRDefault="006B4A9F" w:rsidP="00402C3A">
            <w:pPr>
              <w:keepNext/>
              <w:keepLines/>
              <w:tabs>
                <w:tab w:val="left" w:pos="884"/>
              </w:tabs>
              <w:rPr>
                <w:b/>
                <w:bCs/>
              </w:rPr>
            </w:pPr>
          </w:p>
        </w:tc>
        <w:tc>
          <w:tcPr>
            <w:tcW w:w="3510" w:type="dxa"/>
          </w:tcPr>
          <w:p w14:paraId="0D57B233" w14:textId="77777777" w:rsidR="006B4A9F" w:rsidRPr="007A6E94" w:rsidRDefault="006B4A9F" w:rsidP="00402C3A">
            <w:pPr>
              <w:keepNext/>
              <w:keepLines/>
              <w:tabs>
                <w:tab w:val="left" w:pos="884"/>
              </w:tabs>
            </w:pPr>
          </w:p>
        </w:tc>
      </w:tr>
      <w:tr w:rsidR="006B4A9F" w14:paraId="279FEE75" w14:textId="77777777" w:rsidTr="00402C3A">
        <w:trPr>
          <w:cantSplit/>
          <w:trHeight w:val="270"/>
        </w:trPr>
        <w:tc>
          <w:tcPr>
            <w:tcW w:w="1260" w:type="dxa"/>
          </w:tcPr>
          <w:p w14:paraId="7DCB4643" w14:textId="77777777" w:rsidR="006B4A9F" w:rsidRDefault="006B4A9F" w:rsidP="00402C3A">
            <w:pPr>
              <w:rPr>
                <w:b/>
              </w:rPr>
            </w:pPr>
          </w:p>
        </w:tc>
        <w:tc>
          <w:tcPr>
            <w:tcW w:w="4410" w:type="dxa"/>
          </w:tcPr>
          <w:p w14:paraId="7A5380C8" w14:textId="77777777" w:rsidR="006B4A9F" w:rsidRDefault="006B4A9F" w:rsidP="00402C3A">
            <w:pPr>
              <w:tabs>
                <w:tab w:val="center" w:pos="7230"/>
              </w:tabs>
            </w:pPr>
          </w:p>
        </w:tc>
        <w:tc>
          <w:tcPr>
            <w:tcW w:w="1080" w:type="dxa"/>
          </w:tcPr>
          <w:p w14:paraId="70807004" w14:textId="77777777" w:rsidR="006B4A9F" w:rsidRPr="007A6E94" w:rsidRDefault="006B4A9F" w:rsidP="00402C3A">
            <w:pPr>
              <w:tabs>
                <w:tab w:val="left" w:pos="884"/>
              </w:tabs>
              <w:rPr>
                <w:b/>
                <w:bCs/>
              </w:rPr>
            </w:pPr>
          </w:p>
        </w:tc>
        <w:tc>
          <w:tcPr>
            <w:tcW w:w="3510" w:type="dxa"/>
          </w:tcPr>
          <w:p w14:paraId="0A5630EF" w14:textId="77777777" w:rsidR="006B4A9F" w:rsidRPr="007A6E94" w:rsidRDefault="006B4A9F" w:rsidP="00402C3A">
            <w:pPr>
              <w:tabs>
                <w:tab w:val="left" w:pos="884"/>
              </w:tabs>
            </w:pPr>
          </w:p>
        </w:tc>
      </w:tr>
    </w:tbl>
    <w:p w14:paraId="3D8BC9BB" w14:textId="77777777" w:rsidR="006B4A9F" w:rsidRDefault="006B4A9F" w:rsidP="006B4A9F">
      <w:pPr>
        <w:pStyle w:val="Tablefin"/>
      </w:pPr>
    </w:p>
    <w:p w14:paraId="36C6F2DC" w14:textId="77777777" w:rsidR="006B4A9F" w:rsidRDefault="006B4A9F" w:rsidP="006B4A9F">
      <w:pPr>
        <w:pStyle w:val="Reasons"/>
      </w:pPr>
    </w:p>
    <w:p w14:paraId="095FB94B" w14:textId="77777777" w:rsidR="006B4A9F" w:rsidRDefault="006B4A9F" w:rsidP="006B4A9F"/>
    <w:p w14:paraId="38541DC8" w14:textId="77777777" w:rsidR="006B4A9F" w:rsidRDefault="006B4A9F" w:rsidP="006B4A9F">
      <w:pPr>
        <w:jc w:val="center"/>
        <w:rPr>
          <w:lang w:val="fr-FR" w:eastAsia="zh-CN"/>
        </w:rPr>
      </w:pPr>
      <w:r>
        <w:rPr>
          <w:lang w:eastAsia="zh-CN"/>
        </w:rPr>
        <w:t>_______________</w:t>
      </w:r>
    </w:p>
    <w:p w14:paraId="0E074997" w14:textId="77777777" w:rsidR="006B4A9F" w:rsidRDefault="006B4A9F" w:rsidP="006B4A9F">
      <w:pPr>
        <w:rPr>
          <w:lang w:val="fr-FR" w:eastAsia="zh-CN"/>
        </w:rPr>
      </w:pPr>
    </w:p>
    <w:p w14:paraId="489EE7B8" w14:textId="77777777" w:rsidR="006B4A9F" w:rsidRDefault="006B4A9F" w:rsidP="006B4A9F"/>
    <w:p w14:paraId="132C4AB9" w14:textId="77777777" w:rsidR="006B4A9F" w:rsidRDefault="006B4A9F" w:rsidP="006B4A9F"/>
    <w:p w14:paraId="36B01E74" w14:textId="77777777" w:rsidR="00BD51ED" w:rsidRDefault="00CF0386"/>
    <w:sectPr w:rsidR="00BD51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BE182" w14:textId="77777777" w:rsidR="00C1676C" w:rsidRDefault="00C1676C" w:rsidP="00D73705">
      <w:r>
        <w:separator/>
      </w:r>
    </w:p>
  </w:endnote>
  <w:endnote w:type="continuationSeparator" w:id="0">
    <w:p w14:paraId="634D1982" w14:textId="77777777" w:rsidR="00C1676C" w:rsidRDefault="00C1676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7D05"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6601"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AACE"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20B22" w14:textId="77777777" w:rsidR="00C1676C" w:rsidRDefault="00C1676C" w:rsidP="00D73705">
      <w:r>
        <w:separator/>
      </w:r>
    </w:p>
  </w:footnote>
  <w:footnote w:type="continuationSeparator" w:id="0">
    <w:p w14:paraId="789B5E79" w14:textId="77777777" w:rsidR="00C1676C" w:rsidRDefault="00C1676C" w:rsidP="00D73705">
      <w:r>
        <w:continuationSeparator/>
      </w:r>
    </w:p>
  </w:footnote>
  <w:footnote w:id="1">
    <w:p w14:paraId="3A709CE4" w14:textId="0543F23E" w:rsidR="006B4A9F" w:rsidRPr="0065335C" w:rsidRDefault="006B4A9F" w:rsidP="006B4A9F">
      <w:pPr>
        <w:pStyle w:val="FootnoteText"/>
        <w:rPr>
          <w:rFonts w:ascii="Times New Roman" w:hAnsi="Times New Roman" w:cs="Times New Roman"/>
        </w:rPr>
      </w:pPr>
      <w:r w:rsidRPr="00C1496A">
        <w:rPr>
          <w:rStyle w:val="FootnoteReference"/>
          <w:rFonts w:ascii="Times New Roman" w:hAnsi="Times New Roman" w:cs="Times New Roman"/>
        </w:rPr>
        <w:footnoteRef/>
      </w:r>
      <w:r w:rsidRPr="00C1496A">
        <w:rPr>
          <w:rFonts w:ascii="Times New Roman" w:hAnsi="Times New Roman" w:cs="Times New Roman"/>
        </w:rPr>
        <w:t xml:space="preserve">   WRC Resolution </w:t>
      </w:r>
      <w:r w:rsidRPr="0065335C">
        <w:rPr>
          <w:rFonts w:ascii="Times New Roman" w:hAnsi="Times New Roman" w:cs="Times New Roman"/>
          <w:b/>
        </w:rPr>
        <w:t>731</w:t>
      </w:r>
      <w:r w:rsidRPr="00C1496A">
        <w:rPr>
          <w:rFonts w:ascii="Times New Roman" w:hAnsi="Times New Roman" w:cs="Times New Roman"/>
        </w:rPr>
        <w:t xml:space="preserve"> was first developed at WRC-2000 and includes the </w:t>
      </w:r>
      <w:r w:rsidRPr="0065335C">
        <w:rPr>
          <w:rFonts w:ascii="Times New Roman" w:hAnsi="Times New Roman" w:cs="Times New Roman"/>
          <w:i/>
        </w:rPr>
        <w:t xml:space="preserve">invites </w:t>
      </w:r>
      <w:r w:rsidR="00E41AEB">
        <w:rPr>
          <w:rFonts w:ascii="Times New Roman" w:hAnsi="Times New Roman" w:cs="Times New Roman"/>
          <w:i/>
        </w:rPr>
        <w:t xml:space="preserve">the </w:t>
      </w:r>
      <w:r w:rsidRPr="0065335C">
        <w:rPr>
          <w:rFonts w:ascii="Times New Roman" w:hAnsi="Times New Roman" w:cs="Times New Roman"/>
          <w:i/>
        </w:rPr>
        <w:t>ITU-R 1</w:t>
      </w:r>
      <w:r w:rsidRPr="00C1496A">
        <w:rPr>
          <w:rFonts w:ascii="Times New Roman" w:hAnsi="Times New Roman" w:cs="Times New Roman"/>
        </w:rPr>
        <w:t xml:space="preserve"> referenced.  It was</w:t>
      </w:r>
      <w:r w:rsidR="0065335C">
        <w:rPr>
          <w:rFonts w:ascii="Times New Roman" w:hAnsi="Times New Roman" w:cs="Times New Roman"/>
        </w:rPr>
        <w:t xml:space="preserve"> </w:t>
      </w:r>
      <w:r w:rsidRPr="00C1496A">
        <w:rPr>
          <w:rFonts w:ascii="Times New Roman" w:hAnsi="Times New Roman" w:cs="Times New Roman"/>
        </w:rPr>
        <w:t xml:space="preserve">revised at WRC-19 but the </w:t>
      </w:r>
      <w:r w:rsidRPr="0065335C">
        <w:rPr>
          <w:rFonts w:ascii="Times New Roman" w:hAnsi="Times New Roman" w:cs="Times New Roman"/>
          <w:i/>
        </w:rPr>
        <w:t>invites</w:t>
      </w:r>
      <w:r w:rsidR="00E41AEB">
        <w:rPr>
          <w:rFonts w:ascii="Times New Roman" w:hAnsi="Times New Roman" w:cs="Times New Roman"/>
          <w:i/>
        </w:rPr>
        <w:t xml:space="preserve"> the</w:t>
      </w:r>
      <w:r w:rsidR="0065335C" w:rsidRPr="0065335C">
        <w:rPr>
          <w:rFonts w:ascii="Times New Roman" w:hAnsi="Times New Roman" w:cs="Times New Roman"/>
          <w:i/>
        </w:rPr>
        <w:t xml:space="preserve"> ITU-R </w:t>
      </w:r>
      <w:r w:rsidRPr="0065335C">
        <w:rPr>
          <w:rFonts w:ascii="Times New Roman" w:hAnsi="Times New Roman" w:cs="Times New Roman"/>
          <w:i/>
        </w:rPr>
        <w:t>1</w:t>
      </w:r>
      <w:r w:rsidRPr="00C1496A">
        <w:rPr>
          <w:rFonts w:ascii="Times New Roman" w:hAnsi="Times New Roman" w:cs="Times New Roman"/>
        </w:rPr>
        <w:t xml:space="preserve"> was not changed</w:t>
      </w:r>
      <w:r w:rsidRPr="0065335C">
        <w:rPr>
          <w:rFonts w:ascii="Times New Roman" w:hAnsi="Times New Roman" w:cs="Times New Roman"/>
        </w:rPr>
        <w:t xml:space="preserve">.  </w:t>
      </w:r>
    </w:p>
  </w:footnote>
  <w:footnote w:id="2">
    <w:p w14:paraId="0D3FB7F0" w14:textId="70ECA264" w:rsidR="006B4A9F" w:rsidRDefault="006B4A9F" w:rsidP="006B4A9F">
      <w:pPr>
        <w:pStyle w:val="FootnoteText"/>
      </w:pPr>
      <w:r w:rsidRPr="0065335C">
        <w:rPr>
          <w:rStyle w:val="FootnoteReference"/>
        </w:rPr>
        <w:footnoteRef/>
      </w:r>
      <w:r w:rsidRPr="0065335C">
        <w:t xml:space="preserve"> </w:t>
      </w:r>
      <w:r w:rsidRPr="0065335C">
        <w:rPr>
          <w:rFonts w:ascii="Times New Roman" w:hAnsi="Times New Roman" w:cs="Times New Roman"/>
        </w:rPr>
        <w:t xml:space="preserve">Available at URL: </w:t>
      </w:r>
      <w:hyperlink r:id="rId1" w:history="1">
        <w:r w:rsidR="0065335C" w:rsidRPr="00FA2C09">
          <w:rPr>
            <w:rStyle w:val="Hyperlink"/>
            <w:rFonts w:ascii="Times New Roman" w:hAnsi="Times New Roman" w:cs="Times New Roman"/>
          </w:rPr>
          <w:t>https://www.itu.int/pub/R-REP-RA.2189-1-2018</w:t>
        </w:r>
      </w:hyperlink>
      <w:r w:rsidR="0065335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7EED"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B5B8"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0486"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03"/>
    <w:rsid w:val="000D0D7E"/>
    <w:rsid w:val="000D0F39"/>
    <w:rsid w:val="00341AA2"/>
    <w:rsid w:val="00377072"/>
    <w:rsid w:val="00416292"/>
    <w:rsid w:val="00432382"/>
    <w:rsid w:val="00434A34"/>
    <w:rsid w:val="005555F3"/>
    <w:rsid w:val="00560B28"/>
    <w:rsid w:val="0057152D"/>
    <w:rsid w:val="005F3DDC"/>
    <w:rsid w:val="0065335C"/>
    <w:rsid w:val="00654F3B"/>
    <w:rsid w:val="0066659A"/>
    <w:rsid w:val="006B4A9F"/>
    <w:rsid w:val="007658D3"/>
    <w:rsid w:val="00790A03"/>
    <w:rsid w:val="007A0BA3"/>
    <w:rsid w:val="007C419E"/>
    <w:rsid w:val="007E6F2D"/>
    <w:rsid w:val="0082020F"/>
    <w:rsid w:val="008A4365"/>
    <w:rsid w:val="008D6007"/>
    <w:rsid w:val="00957E23"/>
    <w:rsid w:val="009A63E4"/>
    <w:rsid w:val="00A30D7E"/>
    <w:rsid w:val="00BA4C48"/>
    <w:rsid w:val="00C1676C"/>
    <w:rsid w:val="00C52078"/>
    <w:rsid w:val="00CF0386"/>
    <w:rsid w:val="00D13E02"/>
    <w:rsid w:val="00D40FA3"/>
    <w:rsid w:val="00D73705"/>
    <w:rsid w:val="00E41AEB"/>
    <w:rsid w:val="00E62425"/>
    <w:rsid w:val="00E658D1"/>
    <w:rsid w:val="00E966FD"/>
    <w:rsid w:val="00EB7E9A"/>
    <w:rsid w:val="00F50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89C0A"/>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paragraph" w:styleId="NormalWeb">
    <w:name w:val="Normal (Web)"/>
    <w:basedOn w:val="Normal"/>
    <w:uiPriority w:val="99"/>
    <w:unhideWhenUsed/>
    <w:rsid w:val="00EB7E9A"/>
    <w:pPr>
      <w:spacing w:before="100" w:beforeAutospacing="1" w:after="100" w:afterAutospacing="1"/>
    </w:pPr>
    <w:rPr>
      <w:lang w:eastAsia="ja-JP"/>
    </w:rPr>
  </w:style>
  <w:style w:type="paragraph" w:styleId="BalloonText">
    <w:name w:val="Balloon Text"/>
    <w:basedOn w:val="Normal"/>
    <w:link w:val="BalloonTextChar"/>
    <w:uiPriority w:val="99"/>
    <w:semiHidden/>
    <w:unhideWhenUsed/>
    <w:rsid w:val="007E6F2D"/>
    <w:rPr>
      <w:sz w:val="18"/>
      <w:szCs w:val="18"/>
    </w:rPr>
  </w:style>
  <w:style w:type="character" w:customStyle="1" w:styleId="BalloonTextChar">
    <w:name w:val="Balloon Text Char"/>
    <w:basedOn w:val="DefaultParagraphFont"/>
    <w:link w:val="BalloonText"/>
    <w:uiPriority w:val="99"/>
    <w:semiHidden/>
    <w:rsid w:val="007E6F2D"/>
    <w:rPr>
      <w:rFonts w:ascii="Times New Roman" w:eastAsia="Times New Roman" w:hAnsi="Times New Roman" w:cs="Times New Roman"/>
      <w:sz w:val="18"/>
      <w:szCs w:val="18"/>
    </w:rPr>
  </w:style>
  <w:style w:type="character" w:styleId="CommentReference">
    <w:name w:val="annotation reference"/>
    <w:basedOn w:val="DefaultParagraphFont"/>
    <w:semiHidden/>
    <w:unhideWhenUsed/>
    <w:rsid w:val="006B4A9F"/>
    <w:rPr>
      <w:sz w:val="16"/>
      <w:szCs w:val="16"/>
    </w:rPr>
  </w:style>
  <w:style w:type="paragraph" w:styleId="CommentText">
    <w:name w:val="annotation text"/>
    <w:basedOn w:val="Normal"/>
    <w:link w:val="CommentTextChar"/>
    <w:semiHidden/>
    <w:unhideWhenUsed/>
    <w:rsid w:val="006B4A9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6B4A9F"/>
    <w:rPr>
      <w:sz w:val="20"/>
      <w:szCs w:val="20"/>
    </w:rPr>
  </w:style>
  <w:style w:type="paragraph" w:styleId="FootnoteText">
    <w:name w:val="footnote text"/>
    <w:basedOn w:val="Normal"/>
    <w:link w:val="FootnoteTextChar"/>
    <w:uiPriority w:val="99"/>
    <w:semiHidden/>
    <w:unhideWhenUsed/>
    <w:rsid w:val="006B4A9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B4A9F"/>
    <w:rPr>
      <w:sz w:val="20"/>
      <w:szCs w:val="20"/>
    </w:rPr>
  </w:style>
  <w:style w:type="character" w:styleId="FootnoteReference">
    <w:name w:val="footnote reference"/>
    <w:basedOn w:val="DefaultParagraphFont"/>
    <w:uiPriority w:val="99"/>
    <w:semiHidden/>
    <w:unhideWhenUsed/>
    <w:rsid w:val="006B4A9F"/>
    <w:rPr>
      <w:vertAlign w:val="superscript"/>
    </w:rPr>
  </w:style>
  <w:style w:type="paragraph" w:customStyle="1" w:styleId="Normalaftertitle">
    <w:name w:val="Normal_after_title"/>
    <w:basedOn w:val="Normal"/>
    <w:next w:val="Normal"/>
    <w:rsid w:val="006B4A9F"/>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Source">
    <w:name w:val="Source"/>
    <w:basedOn w:val="Normal"/>
    <w:next w:val="Normal"/>
    <w:rsid w:val="006B4A9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6B4A9F"/>
    <w:pPr>
      <w:tabs>
        <w:tab w:val="left" w:pos="567"/>
        <w:tab w:val="left" w:pos="1701"/>
        <w:tab w:val="left" w:pos="2835"/>
      </w:tabs>
      <w:spacing w:before="240"/>
    </w:pPr>
    <w:rPr>
      <w:b w:val="0"/>
      <w:caps/>
    </w:rPr>
  </w:style>
  <w:style w:type="paragraph" w:customStyle="1" w:styleId="Title4">
    <w:name w:val="Title 4"/>
    <w:basedOn w:val="Normal"/>
    <w:next w:val="Heading1"/>
    <w:rsid w:val="006B4A9F"/>
    <w:pPr>
      <w:tabs>
        <w:tab w:val="left" w:pos="1134"/>
        <w:tab w:val="left" w:pos="1871"/>
        <w:tab w:val="left" w:pos="2268"/>
      </w:tabs>
      <w:spacing w:before="240"/>
      <w:jc w:val="center"/>
    </w:pPr>
    <w:rPr>
      <w:b/>
      <w:sz w:val="28"/>
      <w:szCs w:val="20"/>
      <w:lang w:val="en-GB"/>
    </w:rPr>
  </w:style>
  <w:style w:type="paragraph" w:customStyle="1" w:styleId="Reasons">
    <w:name w:val="Reasons"/>
    <w:basedOn w:val="Normal"/>
    <w:rsid w:val="006B4A9F"/>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Tablefin">
    <w:name w:val="Table_fin"/>
    <w:basedOn w:val="Normal"/>
    <w:rsid w:val="006B4A9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7412">
      <w:bodyDiv w:val="1"/>
      <w:marLeft w:val="0"/>
      <w:marRight w:val="0"/>
      <w:marTop w:val="0"/>
      <w:marBottom w:val="0"/>
      <w:divBdr>
        <w:top w:val="none" w:sz="0" w:space="0" w:color="auto"/>
        <w:left w:val="none" w:sz="0" w:space="0" w:color="auto"/>
        <w:bottom w:val="none" w:sz="0" w:space="0" w:color="auto"/>
        <w:right w:val="none" w:sz="0" w:space="0" w:color="auto"/>
      </w:divBdr>
      <w:divsChild>
        <w:div w:id="175340636">
          <w:marLeft w:val="0"/>
          <w:marRight w:val="0"/>
          <w:marTop w:val="0"/>
          <w:marBottom w:val="0"/>
          <w:divBdr>
            <w:top w:val="none" w:sz="0" w:space="0" w:color="auto"/>
            <w:left w:val="none" w:sz="0" w:space="0" w:color="auto"/>
            <w:bottom w:val="none" w:sz="0" w:space="0" w:color="auto"/>
            <w:right w:val="none" w:sz="0" w:space="0" w:color="auto"/>
          </w:divBdr>
          <w:divsChild>
            <w:div w:id="1170023590">
              <w:marLeft w:val="0"/>
              <w:marRight w:val="0"/>
              <w:marTop w:val="0"/>
              <w:marBottom w:val="0"/>
              <w:divBdr>
                <w:top w:val="none" w:sz="0" w:space="0" w:color="auto"/>
                <w:left w:val="none" w:sz="0" w:space="0" w:color="auto"/>
                <w:bottom w:val="none" w:sz="0" w:space="0" w:color="auto"/>
                <w:right w:val="none" w:sz="0" w:space="0" w:color="auto"/>
              </w:divBdr>
              <w:divsChild>
                <w:div w:id="1066949487">
                  <w:marLeft w:val="0"/>
                  <w:marRight w:val="0"/>
                  <w:marTop w:val="0"/>
                  <w:marBottom w:val="0"/>
                  <w:divBdr>
                    <w:top w:val="none" w:sz="0" w:space="0" w:color="auto"/>
                    <w:left w:val="none" w:sz="0" w:space="0" w:color="auto"/>
                    <w:bottom w:val="none" w:sz="0" w:space="0" w:color="auto"/>
                    <w:right w:val="none" w:sz="0" w:space="0" w:color="auto"/>
                  </w:divBdr>
                  <w:divsChild>
                    <w:div w:id="20767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8150">
      <w:bodyDiv w:val="1"/>
      <w:marLeft w:val="0"/>
      <w:marRight w:val="0"/>
      <w:marTop w:val="0"/>
      <w:marBottom w:val="0"/>
      <w:divBdr>
        <w:top w:val="none" w:sz="0" w:space="0" w:color="auto"/>
        <w:left w:val="none" w:sz="0" w:space="0" w:color="auto"/>
        <w:bottom w:val="none" w:sz="0" w:space="0" w:color="auto"/>
        <w:right w:val="none" w:sz="0" w:space="0" w:color="auto"/>
      </w:divBdr>
    </w:div>
    <w:div w:id="601836785">
      <w:bodyDiv w:val="1"/>
      <w:marLeft w:val="0"/>
      <w:marRight w:val="0"/>
      <w:marTop w:val="0"/>
      <w:marBottom w:val="0"/>
      <w:divBdr>
        <w:top w:val="none" w:sz="0" w:space="0" w:color="auto"/>
        <w:left w:val="none" w:sz="0" w:space="0" w:color="auto"/>
        <w:bottom w:val="none" w:sz="0" w:space="0" w:color="auto"/>
        <w:right w:val="none" w:sz="0" w:space="0" w:color="auto"/>
      </w:divBdr>
    </w:div>
    <w:div w:id="649752735">
      <w:bodyDiv w:val="1"/>
      <w:marLeft w:val="0"/>
      <w:marRight w:val="0"/>
      <w:marTop w:val="0"/>
      <w:marBottom w:val="0"/>
      <w:divBdr>
        <w:top w:val="none" w:sz="0" w:space="0" w:color="auto"/>
        <w:left w:val="none" w:sz="0" w:space="0" w:color="auto"/>
        <w:bottom w:val="none" w:sz="0" w:space="0" w:color="auto"/>
        <w:right w:val="none" w:sz="0" w:space="0" w:color="auto"/>
      </w:divBdr>
    </w:div>
    <w:div w:id="899176580">
      <w:bodyDiv w:val="1"/>
      <w:marLeft w:val="0"/>
      <w:marRight w:val="0"/>
      <w:marTop w:val="0"/>
      <w:marBottom w:val="0"/>
      <w:divBdr>
        <w:top w:val="none" w:sz="0" w:space="0" w:color="auto"/>
        <w:left w:val="none" w:sz="0" w:space="0" w:color="auto"/>
        <w:bottom w:val="none" w:sz="0" w:space="0" w:color="auto"/>
        <w:right w:val="none" w:sz="0" w:space="0" w:color="auto"/>
      </w:divBdr>
    </w:div>
    <w:div w:id="9473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RA.2189-1-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FF43B-9B3F-4F07-8232-A80EBF804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DB51B-50B9-4CCD-BB36-15C2BE73F2A9}">
  <ds:schemaRefs>
    <ds:schemaRef ds:uri="http://schemas.microsoft.com/sharepoint/v3/contenttype/forms"/>
  </ds:schemaRefs>
</ds:datastoreItem>
</file>

<file path=customXml/itemProps3.xml><?xml version="1.0" encoding="utf-8"?>
<ds:datastoreItem xmlns:ds="http://schemas.openxmlformats.org/officeDocument/2006/customXml" ds:itemID="{1168985B-D60B-4F8A-8B77-809252D7F146}">
  <ds:schemaRefs>
    <ds:schemaRef ds:uri="http://schemas.openxmlformats.org/package/2006/metadata/core-properties"/>
    <ds:schemaRef ds:uri="http://schemas.microsoft.com/office/infopath/2007/PartnerControls"/>
    <ds:schemaRef ds:uri="http://schemas.microsoft.com/office/2006/documentManagement/types"/>
    <ds:schemaRef ds:uri="93781e04-7d00-42c1-833c-427678ddbe91"/>
    <ds:schemaRef ds:uri="http://schemas.microsoft.com/office/2006/metadata/properties"/>
    <ds:schemaRef ds:uri="http://purl.org/dc/dcmitype/"/>
    <ds:schemaRef ds:uri="http://purl.org/dc/elements/1.1/"/>
    <ds:schemaRef ds:uri="8dd44d20-27a5-467e-8d28-61bfbf9313d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Edits</cp:lastModifiedBy>
  <cp:revision>5</cp:revision>
  <dcterms:created xsi:type="dcterms:W3CDTF">2020-10-23T20:04:00Z</dcterms:created>
  <dcterms:modified xsi:type="dcterms:W3CDTF">2020-10-23T20:29:00Z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