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D44482" w:rsidRPr="008A5AF1" w14:paraId="6704B211" w14:textId="77777777" w:rsidTr="008E298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DF5043F" w14:textId="77777777" w:rsidR="00D44482" w:rsidRPr="006F661E" w:rsidRDefault="00D44482" w:rsidP="008E2983">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BB0C1BA" w14:textId="77777777" w:rsidR="00D44482" w:rsidRPr="006F661E" w:rsidRDefault="00D44482" w:rsidP="008E2983">
            <w:pPr>
              <w:pStyle w:val="TabletitleBR"/>
              <w:rPr>
                <w:spacing w:val="-3"/>
                <w:szCs w:val="24"/>
              </w:rPr>
            </w:pPr>
            <w:r w:rsidRPr="006F661E">
              <w:rPr>
                <w:spacing w:val="-3"/>
                <w:szCs w:val="24"/>
              </w:rPr>
              <w:t>Fact Sheet</w:t>
            </w:r>
          </w:p>
        </w:tc>
      </w:tr>
      <w:tr w:rsidR="00D44482" w:rsidRPr="008A5AF1" w14:paraId="05BE8150" w14:textId="77777777" w:rsidTr="004226D6">
        <w:trPr>
          <w:trHeight w:val="348"/>
        </w:trPr>
        <w:tc>
          <w:tcPr>
            <w:tcW w:w="4207" w:type="dxa"/>
            <w:tcBorders>
              <w:left w:val="double" w:sz="6" w:space="0" w:color="auto"/>
            </w:tcBorders>
          </w:tcPr>
          <w:p w14:paraId="3A302A8A" w14:textId="77777777" w:rsidR="00D44482" w:rsidRPr="006F661E" w:rsidRDefault="00D44482" w:rsidP="008E2983">
            <w:pPr>
              <w:spacing w:after="120"/>
              <w:ind w:left="900" w:right="144" w:hanging="756"/>
              <w:rPr>
                <w:szCs w:val="24"/>
              </w:rPr>
            </w:pPr>
            <w:r w:rsidRPr="006F661E">
              <w:rPr>
                <w:b/>
                <w:szCs w:val="24"/>
              </w:rPr>
              <w:t>Working Party:</w:t>
            </w:r>
            <w:r>
              <w:rPr>
                <w:szCs w:val="24"/>
              </w:rPr>
              <w:t xml:space="preserve">  ITU-R WP 5B</w:t>
            </w:r>
          </w:p>
        </w:tc>
        <w:tc>
          <w:tcPr>
            <w:tcW w:w="5186" w:type="dxa"/>
            <w:tcBorders>
              <w:right w:val="double" w:sz="6" w:space="0" w:color="auto"/>
            </w:tcBorders>
          </w:tcPr>
          <w:p w14:paraId="64DCCD57" w14:textId="77777777" w:rsidR="00D44482" w:rsidRPr="006F661E" w:rsidRDefault="00D44482" w:rsidP="008E2983">
            <w:pPr>
              <w:spacing w:after="120"/>
              <w:ind w:left="144" w:right="144"/>
              <w:rPr>
                <w:szCs w:val="24"/>
              </w:rPr>
            </w:pPr>
            <w:r w:rsidRPr="006F661E">
              <w:rPr>
                <w:b/>
                <w:szCs w:val="24"/>
              </w:rPr>
              <w:t>Document No:</w:t>
            </w:r>
            <w:r>
              <w:rPr>
                <w:szCs w:val="24"/>
              </w:rPr>
              <w:t xml:space="preserve">  USWP5B26-31</w:t>
            </w:r>
          </w:p>
        </w:tc>
      </w:tr>
      <w:tr w:rsidR="00D44482" w:rsidRPr="008A5AF1" w14:paraId="0BBE3DAB" w14:textId="77777777" w:rsidTr="004226D6">
        <w:trPr>
          <w:trHeight w:val="378"/>
        </w:trPr>
        <w:tc>
          <w:tcPr>
            <w:tcW w:w="4207" w:type="dxa"/>
            <w:tcBorders>
              <w:left w:val="double" w:sz="6" w:space="0" w:color="auto"/>
            </w:tcBorders>
          </w:tcPr>
          <w:p w14:paraId="78739374" w14:textId="77777777" w:rsidR="00D44482" w:rsidRPr="0014430B" w:rsidRDefault="00D44482" w:rsidP="008E2983">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5B/712-E Annex 7</w:t>
            </w:r>
          </w:p>
        </w:tc>
        <w:tc>
          <w:tcPr>
            <w:tcW w:w="5186" w:type="dxa"/>
            <w:tcBorders>
              <w:right w:val="double" w:sz="6" w:space="0" w:color="auto"/>
            </w:tcBorders>
          </w:tcPr>
          <w:p w14:paraId="04ECCE98" w14:textId="4673EC95" w:rsidR="00D44482" w:rsidRPr="006F661E" w:rsidRDefault="00D44482" w:rsidP="007B74BA">
            <w:pPr>
              <w:tabs>
                <w:tab w:val="left" w:pos="162"/>
              </w:tabs>
              <w:spacing w:before="0"/>
              <w:ind w:left="1188" w:right="144" w:hanging="468"/>
              <w:rPr>
                <w:szCs w:val="24"/>
              </w:rPr>
            </w:pPr>
            <w:r w:rsidRPr="006F661E">
              <w:rPr>
                <w:b/>
                <w:szCs w:val="24"/>
              </w:rPr>
              <w:t>Date:</w:t>
            </w:r>
            <w:r>
              <w:rPr>
                <w:szCs w:val="24"/>
              </w:rPr>
              <w:t xml:space="preserve">  </w:t>
            </w:r>
            <w:r w:rsidR="007B74BA">
              <w:rPr>
                <w:szCs w:val="24"/>
              </w:rPr>
              <w:t>3rd</w:t>
            </w:r>
            <w:r>
              <w:rPr>
                <w:szCs w:val="24"/>
              </w:rPr>
              <w:t xml:space="preserve"> </w:t>
            </w:r>
            <w:r w:rsidR="007B74BA">
              <w:rPr>
                <w:szCs w:val="24"/>
              </w:rPr>
              <w:t>March</w:t>
            </w:r>
            <w:r>
              <w:rPr>
                <w:szCs w:val="24"/>
              </w:rPr>
              <w:t xml:space="preserve"> 2021</w:t>
            </w:r>
          </w:p>
        </w:tc>
      </w:tr>
      <w:tr w:rsidR="00D44482" w:rsidRPr="008A5AF1" w14:paraId="54C64267" w14:textId="77777777" w:rsidTr="008E2983">
        <w:trPr>
          <w:trHeight w:val="459"/>
        </w:trPr>
        <w:tc>
          <w:tcPr>
            <w:tcW w:w="9393" w:type="dxa"/>
            <w:gridSpan w:val="2"/>
            <w:tcBorders>
              <w:left w:val="double" w:sz="6" w:space="0" w:color="auto"/>
              <w:right w:val="double" w:sz="6" w:space="0" w:color="auto"/>
            </w:tcBorders>
          </w:tcPr>
          <w:p w14:paraId="1C506F30" w14:textId="77777777" w:rsidR="00D44482" w:rsidRPr="00F636D5" w:rsidRDefault="00D44482" w:rsidP="008E2983">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6E51AE">
              <w:rPr>
                <w:lang w:eastAsia="zh-CN"/>
              </w:rPr>
              <w:t>P</w:t>
            </w:r>
            <w:r>
              <w:rPr>
                <w:lang w:eastAsia="zh-CN"/>
              </w:rPr>
              <w:t>RELIMINARY DRAFT NEW REPORT</w:t>
            </w:r>
            <w:r w:rsidRPr="006E51AE">
              <w:rPr>
                <w:lang w:eastAsia="zh-CN"/>
              </w:rPr>
              <w:t xml:space="preserve"> ITU-R M.[UA_PFD]</w:t>
            </w:r>
            <w:r>
              <w:rPr>
                <w:lang w:eastAsia="zh-CN"/>
              </w:rPr>
              <w:t xml:space="preserve"> - </w:t>
            </w:r>
            <w:r w:rsidRPr="006E51AE">
              <w:rPr>
                <w:lang w:eastAsia="zh-CN"/>
              </w:rPr>
              <w:t xml:space="preserve"> </w:t>
            </w:r>
            <w:r w:rsidRPr="00A9004C">
              <w:rPr>
                <w:b/>
                <w:bCs/>
                <w:lang w:eastAsia="zh-CN"/>
              </w:rPr>
              <w:t xml:space="preserve">Review of power flux-density limits in accordance with </w:t>
            </w:r>
            <w:r w:rsidRPr="00A9004C">
              <w:rPr>
                <w:b/>
                <w:bCs/>
                <w:i/>
                <w:iCs/>
                <w:lang w:eastAsia="zh-CN"/>
              </w:rPr>
              <w:t>resolves</w:t>
            </w:r>
            <w:r w:rsidRPr="00A9004C">
              <w:rPr>
                <w:b/>
                <w:bCs/>
                <w:lang w:eastAsia="zh-CN"/>
              </w:rPr>
              <w:t xml:space="preserve"> 16 of Resolution 155 (WRC-15)</w:t>
            </w:r>
          </w:p>
        </w:tc>
      </w:tr>
      <w:tr w:rsidR="00D44482" w:rsidRPr="00490665" w14:paraId="45E9143E" w14:textId="77777777" w:rsidTr="004226D6">
        <w:trPr>
          <w:trHeight w:val="1960"/>
        </w:trPr>
        <w:tc>
          <w:tcPr>
            <w:tcW w:w="4207" w:type="dxa"/>
            <w:tcBorders>
              <w:left w:val="double" w:sz="6" w:space="0" w:color="auto"/>
            </w:tcBorders>
          </w:tcPr>
          <w:p w14:paraId="54EE4B93" w14:textId="77777777" w:rsidR="00D44482" w:rsidRPr="00EC2E8C" w:rsidRDefault="00D44482" w:rsidP="008E2983">
            <w:pPr>
              <w:ind w:left="144" w:right="144"/>
              <w:rPr>
                <w:b/>
                <w:szCs w:val="24"/>
              </w:rPr>
            </w:pPr>
            <w:r w:rsidRPr="00EC2E8C">
              <w:rPr>
                <w:b/>
                <w:szCs w:val="24"/>
              </w:rPr>
              <w:t>Author(s)/Contributors(s):</w:t>
            </w:r>
          </w:p>
          <w:p w14:paraId="54D61E4B" w14:textId="77777777" w:rsidR="00D44482" w:rsidRPr="00EC2E8C" w:rsidRDefault="00D44482" w:rsidP="008E2983">
            <w:pPr>
              <w:spacing w:before="0"/>
              <w:ind w:left="144" w:right="144"/>
              <w:rPr>
                <w:bCs/>
                <w:iCs/>
                <w:szCs w:val="24"/>
                <w:lang w:val="en-US"/>
              </w:rPr>
            </w:pPr>
          </w:p>
          <w:p w14:paraId="3554FF8F" w14:textId="77777777" w:rsidR="00D44482" w:rsidRPr="00EC2E8C" w:rsidRDefault="00D44482" w:rsidP="008E2983">
            <w:pPr>
              <w:overflowPunct/>
              <w:autoSpaceDE/>
              <w:autoSpaceDN/>
              <w:adjustRightInd/>
              <w:spacing w:before="0"/>
              <w:ind w:left="144" w:right="144"/>
              <w:textAlignment w:val="auto"/>
              <w:rPr>
                <w:rFonts w:eastAsia="Calibri"/>
                <w:bCs/>
                <w:iCs/>
                <w:szCs w:val="24"/>
                <w:lang w:val="en-US"/>
              </w:rPr>
            </w:pPr>
            <w:r w:rsidRPr="00EC2E8C">
              <w:rPr>
                <w:bCs/>
                <w:iCs/>
                <w:szCs w:val="24"/>
                <w:lang w:val="en-US"/>
              </w:rPr>
              <w:t xml:space="preserve">Name:  </w:t>
            </w:r>
            <w:r w:rsidRPr="00EC2E8C">
              <w:rPr>
                <w:rFonts w:eastAsia="Calibri"/>
                <w:bCs/>
                <w:iCs/>
                <w:szCs w:val="24"/>
                <w:lang w:val="en-US"/>
              </w:rPr>
              <w:t>Don Nellis</w:t>
            </w:r>
          </w:p>
          <w:p w14:paraId="18DCE266" w14:textId="77777777" w:rsidR="00D44482" w:rsidRPr="00EC2E8C" w:rsidRDefault="00D44482" w:rsidP="008E2983">
            <w:pPr>
              <w:spacing w:before="0"/>
              <w:ind w:left="144" w:right="144"/>
              <w:rPr>
                <w:bCs/>
                <w:iCs/>
                <w:szCs w:val="24"/>
                <w:lang w:val="en-US"/>
              </w:rPr>
            </w:pPr>
            <w:r w:rsidRPr="00EC2E8C">
              <w:rPr>
                <w:bCs/>
                <w:iCs/>
                <w:szCs w:val="24"/>
                <w:lang w:val="en-US"/>
              </w:rPr>
              <w:t xml:space="preserve">Org:  </w:t>
            </w:r>
            <w:r w:rsidRPr="00EC2E8C">
              <w:rPr>
                <w:rFonts w:eastAsia="Calibri"/>
                <w:bCs/>
                <w:iCs/>
                <w:szCs w:val="24"/>
                <w:lang w:val="en-US"/>
              </w:rPr>
              <w:t>Federal Aviation Administration</w:t>
            </w:r>
          </w:p>
          <w:p w14:paraId="6CE62789" w14:textId="77777777" w:rsidR="00D44482" w:rsidRPr="00EC2E8C" w:rsidRDefault="00D44482" w:rsidP="008E2983">
            <w:pPr>
              <w:spacing w:before="0"/>
              <w:ind w:left="144" w:right="144"/>
              <w:rPr>
                <w:bCs/>
                <w:iCs/>
                <w:szCs w:val="24"/>
                <w:lang w:val="en-US"/>
              </w:rPr>
            </w:pPr>
          </w:p>
          <w:p w14:paraId="5487B3B8" w14:textId="77777777" w:rsidR="00D44482" w:rsidRPr="00EC2E8C" w:rsidRDefault="00D44482" w:rsidP="008E2983">
            <w:pPr>
              <w:spacing w:before="0"/>
              <w:ind w:left="144" w:right="144"/>
              <w:rPr>
                <w:bCs/>
                <w:iCs/>
                <w:szCs w:val="24"/>
                <w:lang w:val="en-US"/>
              </w:rPr>
            </w:pPr>
            <w:r w:rsidRPr="00EC2E8C">
              <w:rPr>
                <w:bCs/>
                <w:iCs/>
                <w:szCs w:val="24"/>
                <w:lang w:val="en-US"/>
              </w:rPr>
              <w:t>Name:  Michael Neale</w:t>
            </w:r>
          </w:p>
          <w:p w14:paraId="75068AE8" w14:textId="13001B67" w:rsidR="00D44482" w:rsidRPr="00EC2E8C" w:rsidRDefault="00D44482" w:rsidP="008E2983">
            <w:pPr>
              <w:spacing w:before="0"/>
              <w:ind w:left="122" w:right="144"/>
              <w:rPr>
                <w:szCs w:val="24"/>
              </w:rPr>
            </w:pPr>
            <w:r w:rsidRPr="00EC2E8C">
              <w:rPr>
                <w:bCs/>
                <w:iCs/>
                <w:szCs w:val="24"/>
                <w:lang w:val="en-US"/>
              </w:rPr>
              <w:t>Org:</w:t>
            </w:r>
            <w:r w:rsidRPr="00EC2E8C">
              <w:rPr>
                <w:szCs w:val="24"/>
                <w:lang w:val="en-US"/>
              </w:rPr>
              <w:t xml:space="preserve">  ACES Corp</w:t>
            </w:r>
            <w:r w:rsidR="004226D6">
              <w:rPr>
                <w:szCs w:val="24"/>
                <w:lang w:val="en-US"/>
              </w:rPr>
              <w:t>.</w:t>
            </w:r>
            <w:r w:rsidRPr="00EC2E8C">
              <w:rPr>
                <w:szCs w:val="24"/>
                <w:lang w:val="en-US"/>
              </w:rPr>
              <w:t xml:space="preserve"> for the FAA</w:t>
            </w:r>
          </w:p>
          <w:p w14:paraId="170BEA28" w14:textId="77777777" w:rsidR="00D44482" w:rsidRPr="00EC2E8C" w:rsidRDefault="00D44482" w:rsidP="008E2983">
            <w:pPr>
              <w:spacing w:before="0"/>
              <w:ind w:right="144"/>
              <w:rPr>
                <w:bCs/>
                <w:iCs/>
                <w:szCs w:val="24"/>
                <w:lang w:val="en-US"/>
              </w:rPr>
            </w:pPr>
          </w:p>
        </w:tc>
        <w:tc>
          <w:tcPr>
            <w:tcW w:w="5186" w:type="dxa"/>
            <w:tcBorders>
              <w:right w:val="double" w:sz="6" w:space="0" w:color="auto"/>
            </w:tcBorders>
          </w:tcPr>
          <w:p w14:paraId="3F22CE62" w14:textId="77777777" w:rsidR="00D44482" w:rsidRPr="00EC2E8C" w:rsidRDefault="00D44482" w:rsidP="008E2983">
            <w:pPr>
              <w:ind w:left="144" w:right="144"/>
              <w:rPr>
                <w:bCs/>
                <w:szCs w:val="24"/>
                <w:lang w:val="fr-FR"/>
              </w:rPr>
            </w:pPr>
          </w:p>
          <w:p w14:paraId="355454E0" w14:textId="77777777" w:rsidR="00D44482" w:rsidRPr="00EC2E8C" w:rsidRDefault="00D44482" w:rsidP="008E2983">
            <w:pPr>
              <w:spacing w:before="0"/>
              <w:ind w:left="144" w:right="144"/>
              <w:rPr>
                <w:bCs/>
                <w:szCs w:val="24"/>
                <w:lang w:val="fr-FR"/>
              </w:rPr>
            </w:pPr>
          </w:p>
          <w:p w14:paraId="7F48F5F4" w14:textId="77777777" w:rsidR="00D44482" w:rsidRPr="00EC2E8C" w:rsidRDefault="00D44482" w:rsidP="008E2983">
            <w:pPr>
              <w:spacing w:before="0"/>
              <w:ind w:left="144" w:right="144"/>
              <w:rPr>
                <w:bCs/>
                <w:color w:val="000000"/>
                <w:szCs w:val="24"/>
                <w:lang w:val="fr-FR"/>
              </w:rPr>
            </w:pPr>
            <w:r w:rsidRPr="00EC2E8C">
              <w:rPr>
                <w:bCs/>
                <w:color w:val="000000"/>
                <w:szCs w:val="24"/>
                <w:lang w:val="fr-FR"/>
              </w:rPr>
              <w:t xml:space="preserve">Phone:  </w:t>
            </w:r>
            <w:r w:rsidRPr="00EC2E8C">
              <w:rPr>
                <w:szCs w:val="24"/>
                <w:lang w:val="en-US"/>
              </w:rPr>
              <w:t>(202) 267-9779</w:t>
            </w:r>
          </w:p>
          <w:p w14:paraId="2D109704" w14:textId="77777777" w:rsidR="00D44482" w:rsidRPr="00EC2E8C" w:rsidRDefault="00D44482" w:rsidP="008E2983">
            <w:pPr>
              <w:spacing w:before="0"/>
              <w:ind w:left="144" w:right="144"/>
              <w:rPr>
                <w:bCs/>
                <w:color w:val="000000"/>
                <w:szCs w:val="24"/>
                <w:lang w:val="fr-FR"/>
              </w:rPr>
            </w:pPr>
            <w:r w:rsidRPr="00EC2E8C">
              <w:rPr>
                <w:bCs/>
                <w:color w:val="000000"/>
                <w:szCs w:val="24"/>
                <w:lang w:val="fr-FR"/>
              </w:rPr>
              <w:t xml:space="preserve">Email:  </w:t>
            </w:r>
            <w:hyperlink r:id="rId7" w:history="1">
              <w:r w:rsidRPr="00EC2E8C">
                <w:rPr>
                  <w:rStyle w:val="Hyperlink"/>
                  <w:szCs w:val="24"/>
                  <w:lang w:val="en-US"/>
                </w:rPr>
                <w:t>Donald.Nellis@faa.gov</w:t>
              </w:r>
            </w:hyperlink>
          </w:p>
          <w:p w14:paraId="707E3437" w14:textId="77777777" w:rsidR="00D44482" w:rsidRPr="00EC2E8C" w:rsidRDefault="00D44482" w:rsidP="008E2983">
            <w:pPr>
              <w:spacing w:before="0"/>
              <w:ind w:left="144" w:right="144"/>
              <w:rPr>
                <w:bCs/>
                <w:color w:val="000000"/>
                <w:szCs w:val="24"/>
                <w:lang w:val="fr-FR"/>
              </w:rPr>
            </w:pPr>
          </w:p>
          <w:p w14:paraId="34A611ED" w14:textId="77777777" w:rsidR="00D44482" w:rsidRPr="00EC2E8C" w:rsidRDefault="00D44482" w:rsidP="008E2983">
            <w:pPr>
              <w:spacing w:before="0"/>
              <w:ind w:left="194"/>
              <w:rPr>
                <w:szCs w:val="24"/>
              </w:rPr>
            </w:pPr>
            <w:r w:rsidRPr="00EC2E8C">
              <w:rPr>
                <w:bCs/>
                <w:color w:val="000000"/>
                <w:szCs w:val="24"/>
                <w:lang w:val="fr-FR"/>
              </w:rPr>
              <w:t xml:space="preserve">Phone:  </w:t>
            </w:r>
            <w:r w:rsidRPr="00EC2E8C">
              <w:rPr>
                <w:szCs w:val="24"/>
              </w:rPr>
              <w:t>(858) 705-8978</w:t>
            </w:r>
          </w:p>
          <w:p w14:paraId="620A72F5" w14:textId="77777777" w:rsidR="00D44482" w:rsidRPr="00EC2E8C" w:rsidRDefault="00D44482" w:rsidP="00EC2E8C">
            <w:pPr>
              <w:spacing w:before="0"/>
              <w:ind w:left="200" w:right="144"/>
              <w:rPr>
                <w:bCs/>
                <w:color w:val="000000"/>
                <w:szCs w:val="24"/>
                <w:lang w:val="fr-FR"/>
              </w:rPr>
            </w:pPr>
            <w:r w:rsidRPr="00EC2E8C">
              <w:rPr>
                <w:bCs/>
                <w:color w:val="000000"/>
                <w:szCs w:val="24"/>
                <w:lang w:val="fr-FR"/>
              </w:rPr>
              <w:t xml:space="preserve">Email:  </w:t>
            </w:r>
            <w:r w:rsidRPr="00EC2E8C">
              <w:rPr>
                <w:rStyle w:val="Hyperlink"/>
                <w:szCs w:val="24"/>
                <w:lang w:val="fr-FR"/>
              </w:rPr>
              <w:t>michael.neale@aces-inc.com</w:t>
            </w:r>
          </w:p>
        </w:tc>
      </w:tr>
      <w:tr w:rsidR="00D44482" w:rsidRPr="008A5AF1" w14:paraId="3E733322" w14:textId="77777777" w:rsidTr="008E2983">
        <w:trPr>
          <w:trHeight w:val="541"/>
        </w:trPr>
        <w:tc>
          <w:tcPr>
            <w:tcW w:w="9393" w:type="dxa"/>
            <w:gridSpan w:val="2"/>
            <w:tcBorders>
              <w:left w:val="double" w:sz="6" w:space="0" w:color="auto"/>
              <w:right w:val="double" w:sz="6" w:space="0" w:color="auto"/>
            </w:tcBorders>
          </w:tcPr>
          <w:p w14:paraId="19BA764D" w14:textId="77777777" w:rsidR="00D44482" w:rsidRPr="00EC2E8C" w:rsidRDefault="00D44482" w:rsidP="008E2983">
            <w:pPr>
              <w:rPr>
                <w:bCs/>
                <w:szCs w:val="24"/>
              </w:rPr>
            </w:pPr>
            <w:r w:rsidRPr="00EC2E8C">
              <w:rPr>
                <w:b/>
                <w:szCs w:val="24"/>
              </w:rPr>
              <w:t>Purpose/Objective:</w:t>
            </w:r>
            <w:r w:rsidRPr="00EC2E8C">
              <w:rPr>
                <w:bCs/>
                <w:szCs w:val="24"/>
              </w:rPr>
              <w:t xml:space="preserve">  </w:t>
            </w:r>
            <w:r w:rsidRPr="00EC2E8C">
              <w:rPr>
                <w:szCs w:val="24"/>
                <w:lang w:val="en-US"/>
              </w:rPr>
              <w:t xml:space="preserve">The purpose of this contribution is to propose the update of the </w:t>
            </w:r>
            <w:r w:rsidRPr="00EC2E8C">
              <w:rPr>
                <w:szCs w:val="24"/>
              </w:rPr>
              <w:t xml:space="preserve">PRELIMINARY DRAFT NEW REPORT to a DRAFT NEW REPORT.  No changes, other than the status, are proposed to the version that was Annex 7 to the Chairman’s Report from the April 2019 meeting of WP 5B and carried over without discussion during the July 2020 and November 2020 meetings of WP 5B.  This pfd mask now exists as an example in Annex 2 to </w:t>
            </w:r>
            <w:r w:rsidRPr="00EC2E8C">
              <w:rPr>
                <w:szCs w:val="24"/>
                <w:lang w:val="en-US"/>
              </w:rPr>
              <w:t xml:space="preserve">Resolution </w:t>
            </w:r>
            <w:r w:rsidRPr="00EC2E8C">
              <w:rPr>
                <w:b/>
                <w:szCs w:val="24"/>
                <w:lang w:val="en-US"/>
              </w:rPr>
              <w:t>155 (WRC-19)</w:t>
            </w:r>
            <w:r w:rsidRPr="00EC2E8C">
              <w:rPr>
                <w:bCs/>
                <w:szCs w:val="24"/>
                <w:lang w:val="en-US"/>
              </w:rPr>
              <w:t xml:space="preserve"> so the report needs to be finalized so the example can become the normative requirement in the resolution</w:t>
            </w:r>
            <w:r w:rsidRPr="00EC2E8C">
              <w:rPr>
                <w:bCs/>
                <w:szCs w:val="24"/>
              </w:rPr>
              <w:t>.</w:t>
            </w:r>
          </w:p>
          <w:p w14:paraId="21593168" w14:textId="77777777" w:rsidR="00D44482" w:rsidRPr="00EC2E8C" w:rsidRDefault="00D44482" w:rsidP="008E2983">
            <w:pPr>
              <w:pStyle w:val="enumlev2"/>
              <w:ind w:left="0" w:firstLine="0"/>
              <w:rPr>
                <w:szCs w:val="24"/>
                <w:lang w:val="en-US"/>
              </w:rPr>
            </w:pPr>
            <w:r w:rsidRPr="00EC2E8C">
              <w:rPr>
                <w:szCs w:val="24"/>
                <w:lang w:val="en-US"/>
              </w:rPr>
              <w:t xml:space="preserve">This Report is required to address resolves 14, 15 and 16 in Resolution </w:t>
            </w:r>
            <w:r w:rsidRPr="00EC2E8C">
              <w:rPr>
                <w:b/>
                <w:szCs w:val="24"/>
                <w:lang w:val="en-US"/>
              </w:rPr>
              <w:t>155 (WRC-19)</w:t>
            </w:r>
            <w:r w:rsidRPr="00EC2E8C">
              <w:rPr>
                <w:szCs w:val="24"/>
                <w:lang w:val="en-US"/>
              </w:rPr>
              <w:t xml:space="preserve"> in support of Agenda Item 1.8.</w:t>
            </w:r>
          </w:p>
          <w:p w14:paraId="75C9168E" w14:textId="77777777" w:rsidR="00D44482" w:rsidRPr="00EC2E8C" w:rsidRDefault="00D44482" w:rsidP="008E2983">
            <w:pPr>
              <w:pStyle w:val="enumlev2"/>
              <w:ind w:left="0" w:firstLine="0"/>
              <w:rPr>
                <w:szCs w:val="24"/>
                <w:lang w:val="en-US"/>
              </w:rPr>
            </w:pPr>
          </w:p>
        </w:tc>
      </w:tr>
      <w:tr w:rsidR="00D44482" w:rsidRPr="008A5AF1" w14:paraId="41C439D7" w14:textId="77777777" w:rsidTr="008E2983">
        <w:trPr>
          <w:trHeight w:val="948"/>
        </w:trPr>
        <w:tc>
          <w:tcPr>
            <w:tcW w:w="9393" w:type="dxa"/>
            <w:gridSpan w:val="2"/>
            <w:tcBorders>
              <w:left w:val="double" w:sz="6" w:space="0" w:color="auto"/>
              <w:bottom w:val="single" w:sz="12" w:space="0" w:color="auto"/>
              <w:right w:val="double" w:sz="6" w:space="0" w:color="auto"/>
            </w:tcBorders>
          </w:tcPr>
          <w:p w14:paraId="647D6868" w14:textId="77777777" w:rsidR="00D44482" w:rsidRPr="00EC2E8C" w:rsidRDefault="00D44482" w:rsidP="008E2983">
            <w:pPr>
              <w:pStyle w:val="enumlev2"/>
              <w:ind w:left="0" w:firstLine="0"/>
              <w:rPr>
                <w:szCs w:val="24"/>
                <w:lang w:val="en-US"/>
              </w:rPr>
            </w:pPr>
            <w:r w:rsidRPr="00EC2E8C">
              <w:rPr>
                <w:b/>
                <w:szCs w:val="24"/>
              </w:rPr>
              <w:t>Abstract:</w:t>
            </w:r>
            <w:r w:rsidRPr="00EC2E8C">
              <w:rPr>
                <w:bCs/>
                <w:szCs w:val="24"/>
              </w:rPr>
              <w:t xml:space="preserve">  </w:t>
            </w:r>
            <w:r w:rsidRPr="00EC2E8C">
              <w:rPr>
                <w:szCs w:val="24"/>
                <w:lang w:val="en-US"/>
              </w:rPr>
              <w:t xml:space="preserve">This contribution examines the pfd required to protect the FS from emissions from the CNPC link transmitter located on the UA and proposes updating the pfd mask in Annex 2 of Resolution </w:t>
            </w:r>
            <w:r w:rsidRPr="00EC2E8C">
              <w:rPr>
                <w:b/>
                <w:szCs w:val="24"/>
                <w:lang w:val="en-US"/>
              </w:rPr>
              <w:t xml:space="preserve">155 (WRC-19) </w:t>
            </w:r>
            <w:r w:rsidRPr="00EC2E8C">
              <w:rPr>
                <w:szCs w:val="24"/>
                <w:lang w:val="en-US"/>
              </w:rPr>
              <w:t>in accordance with those studies.</w:t>
            </w:r>
          </w:p>
          <w:p w14:paraId="3A1B3B71" w14:textId="77777777" w:rsidR="00D44482" w:rsidRPr="00EC2E8C" w:rsidRDefault="00D44482" w:rsidP="008E2983">
            <w:pPr>
              <w:pStyle w:val="enumlev2"/>
              <w:ind w:left="0" w:firstLine="0"/>
              <w:rPr>
                <w:bCs/>
                <w:szCs w:val="24"/>
              </w:rPr>
            </w:pPr>
          </w:p>
        </w:tc>
      </w:tr>
    </w:tbl>
    <w:p w14:paraId="5937EE65" w14:textId="51C17DEB" w:rsidR="00D44482" w:rsidRDefault="00D44482" w:rsidP="0073325C">
      <w:pPr>
        <w:rPr>
          <w:szCs w:val="24"/>
        </w:rPr>
      </w:pPr>
    </w:p>
    <w:p w14:paraId="0708896D" w14:textId="6D8CC109" w:rsidR="00D44482" w:rsidRDefault="00D44482" w:rsidP="0073325C">
      <w:pPr>
        <w:rPr>
          <w:szCs w:val="24"/>
        </w:rPr>
      </w:pPr>
    </w:p>
    <w:p w14:paraId="4BD65714" w14:textId="68AF46A1" w:rsidR="00EC2E8C" w:rsidRDefault="00EC2E8C">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7AB696B0" w14:textId="49BFCF27" w:rsidR="00D44482" w:rsidRDefault="00D44482"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44482" w:rsidRPr="00020948" w14:paraId="4BC49E9C" w14:textId="77777777" w:rsidTr="008E2983">
        <w:trPr>
          <w:cantSplit/>
        </w:trPr>
        <w:tc>
          <w:tcPr>
            <w:tcW w:w="6487" w:type="dxa"/>
            <w:vAlign w:val="center"/>
          </w:tcPr>
          <w:p w14:paraId="7D8600DC"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t>Radiocommunication Study Groups</w:t>
            </w:r>
          </w:p>
        </w:tc>
        <w:tc>
          <w:tcPr>
            <w:tcW w:w="3402" w:type="dxa"/>
          </w:tcPr>
          <w:p w14:paraId="18DC0550"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0" w:name="ditulogo"/>
            <w:bookmarkEnd w:id="0"/>
            <w:r w:rsidRPr="00020948">
              <w:rPr>
                <w:rFonts w:eastAsia="MS Mincho"/>
                <w:b/>
                <w:bCs/>
                <w:noProof/>
                <w:sz w:val="20"/>
                <w:lang w:val="en-US"/>
              </w:rPr>
              <w:drawing>
                <wp:inline distT="0" distB="0" distL="0" distR="0" wp14:anchorId="7BF39E66" wp14:editId="4C10A4B2">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44482" w:rsidRPr="00020948" w14:paraId="129F21F9" w14:textId="77777777" w:rsidTr="008E2983">
        <w:trPr>
          <w:cantSplit/>
        </w:trPr>
        <w:tc>
          <w:tcPr>
            <w:tcW w:w="6487" w:type="dxa"/>
            <w:tcBorders>
              <w:bottom w:val="single" w:sz="12" w:space="0" w:color="auto"/>
            </w:tcBorders>
          </w:tcPr>
          <w:p w14:paraId="5105AAA0"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616FA1CD"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D44482" w:rsidRPr="00020948" w14:paraId="0B690ACE" w14:textId="77777777" w:rsidTr="008E2983">
        <w:trPr>
          <w:cantSplit/>
        </w:trPr>
        <w:tc>
          <w:tcPr>
            <w:tcW w:w="6487" w:type="dxa"/>
            <w:tcBorders>
              <w:top w:val="single" w:sz="12" w:space="0" w:color="auto"/>
            </w:tcBorders>
          </w:tcPr>
          <w:p w14:paraId="7DE70187"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2232A177"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D44482" w:rsidRPr="00020948" w14:paraId="7E36FF8E" w14:textId="77777777" w:rsidTr="008E2983">
        <w:trPr>
          <w:cantSplit/>
        </w:trPr>
        <w:tc>
          <w:tcPr>
            <w:tcW w:w="6487" w:type="dxa"/>
            <w:vMerge w:val="restart"/>
          </w:tcPr>
          <w:p w14:paraId="57D039A1" w14:textId="77777777" w:rsidR="00D44482" w:rsidRPr="00020948" w:rsidRDefault="00D44482" w:rsidP="008E2983">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7</w:t>
            </w:r>
          </w:p>
          <w:p w14:paraId="6A3FC98D" w14:textId="77777777" w:rsidR="00D44482" w:rsidRPr="00020948" w:rsidRDefault="00D44482" w:rsidP="008E2983">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2C240DED"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D44482" w:rsidRPr="00020948" w14:paraId="7A002EC3" w14:textId="77777777" w:rsidTr="008E2983">
        <w:trPr>
          <w:cantSplit/>
          <w:trHeight w:val="210"/>
        </w:trPr>
        <w:tc>
          <w:tcPr>
            <w:tcW w:w="6487" w:type="dxa"/>
            <w:vMerge/>
          </w:tcPr>
          <w:p w14:paraId="1EF6EF36"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p>
        </w:tc>
        <w:tc>
          <w:tcPr>
            <w:tcW w:w="3402" w:type="dxa"/>
          </w:tcPr>
          <w:p w14:paraId="0243B194"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del w:id="1" w:author="Author">
              <w:r w:rsidDel="001F4B5B">
                <w:rPr>
                  <w:rFonts w:ascii="Verdana" w:eastAsia="MS Mincho" w:hAnsi="Verdana"/>
                  <w:b/>
                  <w:sz w:val="20"/>
                  <w:lang w:val="en-US" w:eastAsia="zh-CN"/>
                </w:rPr>
                <w:delText>July</w:delText>
              </w:r>
            </w:del>
            <w:ins w:id="2" w:author="Author">
              <w:del w:id="3" w:author="Author">
                <w:r w:rsidDel="00D92156">
                  <w:rPr>
                    <w:rFonts w:ascii="Verdana" w:eastAsia="MS Mincho" w:hAnsi="Verdana"/>
                    <w:b/>
                    <w:sz w:val="20"/>
                    <w:lang w:val="en-US" w:eastAsia="zh-CN"/>
                  </w:rPr>
                  <w:delText>November</w:delText>
                </w:r>
              </w:del>
              <w:r>
                <w:rPr>
                  <w:rFonts w:ascii="Verdana" w:eastAsia="MS Mincho" w:hAnsi="Verdana"/>
                  <w:b/>
                  <w:sz w:val="20"/>
                  <w:lang w:val="en-US" w:eastAsia="zh-CN"/>
                </w:rPr>
                <w:t xml:space="preserve"> May</w:t>
              </w:r>
            </w:ins>
            <w:r>
              <w:rPr>
                <w:rFonts w:ascii="Verdana" w:eastAsia="MS Mincho" w:hAnsi="Verdana"/>
                <w:b/>
                <w:sz w:val="20"/>
                <w:lang w:val="en-US" w:eastAsia="zh-CN"/>
              </w:rPr>
              <w:t xml:space="preserve"> </w:t>
            </w:r>
            <w:r w:rsidRPr="00020948">
              <w:rPr>
                <w:rFonts w:ascii="Verdana" w:eastAsia="MS Mincho" w:hAnsi="Verdana"/>
                <w:b/>
                <w:sz w:val="20"/>
                <w:lang w:val="en-US" w:eastAsia="zh-CN"/>
              </w:rPr>
              <w:t>202</w:t>
            </w:r>
            <w:del w:id="4" w:author="Author">
              <w:r w:rsidRPr="00020948" w:rsidDel="00D92156">
                <w:rPr>
                  <w:rFonts w:ascii="Verdana" w:eastAsia="MS Mincho" w:hAnsi="Verdana"/>
                  <w:b/>
                  <w:sz w:val="20"/>
                  <w:lang w:val="en-US" w:eastAsia="zh-CN"/>
                </w:rPr>
                <w:delText>0</w:delText>
              </w:r>
            </w:del>
            <w:ins w:id="5" w:author="Author">
              <w:r>
                <w:rPr>
                  <w:rFonts w:ascii="Verdana" w:eastAsia="MS Mincho" w:hAnsi="Verdana"/>
                  <w:b/>
                  <w:sz w:val="20"/>
                  <w:lang w:val="en-US" w:eastAsia="zh-CN"/>
                </w:rPr>
                <w:t>1</w:t>
              </w:r>
            </w:ins>
          </w:p>
        </w:tc>
      </w:tr>
      <w:tr w:rsidR="00D44482" w:rsidRPr="00020948" w14:paraId="7BF13C99" w14:textId="77777777" w:rsidTr="008E2983">
        <w:trPr>
          <w:cantSplit/>
        </w:trPr>
        <w:tc>
          <w:tcPr>
            <w:tcW w:w="6487" w:type="dxa"/>
            <w:vMerge/>
          </w:tcPr>
          <w:p w14:paraId="740EF14A"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p>
        </w:tc>
        <w:tc>
          <w:tcPr>
            <w:tcW w:w="3402" w:type="dxa"/>
          </w:tcPr>
          <w:p w14:paraId="7C4B9DCA" w14:textId="77777777" w:rsidR="00D44482" w:rsidRPr="00020948" w:rsidRDefault="00D44482" w:rsidP="008E298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D44482" w:rsidRPr="00020948" w14:paraId="7B3998D5" w14:textId="77777777" w:rsidTr="008E2983">
        <w:trPr>
          <w:cantSplit/>
        </w:trPr>
        <w:tc>
          <w:tcPr>
            <w:tcW w:w="9889" w:type="dxa"/>
            <w:gridSpan w:val="2"/>
          </w:tcPr>
          <w:p w14:paraId="70AEC146"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r w:rsidRPr="00020948">
              <w:rPr>
                <w:rFonts w:eastAsia="MS Mincho"/>
                <w:b/>
                <w:sz w:val="28"/>
                <w:lang w:val="en-US"/>
              </w:rPr>
              <w:t>United Sates of America</w:t>
            </w:r>
          </w:p>
        </w:tc>
      </w:tr>
      <w:tr w:rsidR="00D44482" w:rsidRPr="00020948" w14:paraId="01DC4FF2" w14:textId="77777777" w:rsidTr="008E2983">
        <w:trPr>
          <w:cantSplit/>
        </w:trPr>
        <w:tc>
          <w:tcPr>
            <w:tcW w:w="9889" w:type="dxa"/>
            <w:gridSpan w:val="2"/>
          </w:tcPr>
          <w:p w14:paraId="6BA90DB3" w14:textId="77777777" w:rsidR="00D44482" w:rsidRPr="00020948" w:rsidRDefault="00D44482" w:rsidP="008E298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020948">
              <w:rPr>
                <w:rFonts w:eastAsia="MS Mincho"/>
                <w:caps/>
                <w:sz w:val="28"/>
                <w:lang w:val="en-US"/>
              </w:rPr>
              <w:t>PR</w:t>
            </w:r>
            <w:r>
              <w:rPr>
                <w:rFonts w:eastAsia="MS Mincho"/>
                <w:caps/>
                <w:sz w:val="28"/>
                <w:lang w:val="en-US"/>
              </w:rPr>
              <w:t>ELIMINARY DRAFT NEW REPORT ITU-R M.[UA_PFD]</w:t>
            </w:r>
          </w:p>
          <w:p w14:paraId="4F7F82A3" w14:textId="77777777" w:rsidR="00D44482" w:rsidRPr="00020948" w:rsidRDefault="00D44482" w:rsidP="008E2983">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r w:rsidRPr="0050232A">
              <w:rPr>
                <w:rFonts w:eastAsia="MS Mincho"/>
                <w:b/>
                <w:bCs/>
                <w:sz w:val="28"/>
                <w:szCs w:val="22"/>
                <w:lang w:val="en-US"/>
              </w:rPr>
              <w:t xml:space="preserve">Review of power flux-density limits in accordance with </w:t>
            </w:r>
            <w:r w:rsidRPr="00EF0CCD">
              <w:rPr>
                <w:rFonts w:eastAsia="MS Mincho"/>
                <w:b/>
                <w:bCs/>
                <w:i/>
                <w:iCs/>
                <w:sz w:val="28"/>
                <w:szCs w:val="22"/>
                <w:lang w:val="en-US"/>
              </w:rPr>
              <w:t>resolves</w:t>
            </w:r>
            <w:r w:rsidRPr="0050232A">
              <w:rPr>
                <w:rFonts w:eastAsia="MS Mincho"/>
                <w:b/>
                <w:bCs/>
                <w:sz w:val="28"/>
                <w:szCs w:val="22"/>
                <w:lang w:val="en-US"/>
              </w:rPr>
              <w:t xml:space="preserve"> 16 of Resolution 155 (</w:t>
            </w:r>
            <w:r>
              <w:rPr>
                <w:rFonts w:eastAsia="MS Mincho"/>
                <w:b/>
                <w:bCs/>
                <w:sz w:val="28"/>
                <w:szCs w:val="22"/>
                <w:lang w:val="en-US"/>
              </w:rPr>
              <w:t>Rev.</w:t>
            </w:r>
            <w:r w:rsidRPr="0050232A">
              <w:rPr>
                <w:rFonts w:eastAsia="MS Mincho"/>
                <w:b/>
                <w:bCs/>
                <w:sz w:val="28"/>
                <w:szCs w:val="22"/>
                <w:lang w:val="en-US"/>
              </w:rPr>
              <w:t>WRC-1</w:t>
            </w:r>
            <w:r>
              <w:rPr>
                <w:rFonts w:eastAsia="MS Mincho"/>
                <w:b/>
                <w:bCs/>
                <w:sz w:val="28"/>
                <w:szCs w:val="22"/>
                <w:lang w:val="en-US"/>
              </w:rPr>
              <w:t>9</w:t>
            </w:r>
            <w:r w:rsidRPr="0050232A">
              <w:rPr>
                <w:rFonts w:eastAsia="MS Mincho"/>
                <w:b/>
                <w:bCs/>
                <w:sz w:val="28"/>
                <w:szCs w:val="22"/>
                <w:lang w:val="en-US"/>
              </w:rPr>
              <w:t>)</w:t>
            </w:r>
          </w:p>
          <w:p w14:paraId="69C395BB" w14:textId="77777777" w:rsidR="00D44482" w:rsidRPr="00020948" w:rsidRDefault="00D44482" w:rsidP="008E2983">
            <w:pPr>
              <w:tabs>
                <w:tab w:val="clear" w:pos="794"/>
                <w:tab w:val="clear" w:pos="1191"/>
                <w:tab w:val="clear" w:pos="1588"/>
                <w:tab w:val="clear" w:pos="1985"/>
                <w:tab w:val="left" w:pos="1134"/>
                <w:tab w:val="left" w:pos="1871"/>
                <w:tab w:val="left" w:pos="2268"/>
              </w:tabs>
              <w:rPr>
                <w:rFonts w:eastAsia="MS Mincho"/>
                <w:lang w:val="en-US"/>
              </w:rPr>
            </w:pPr>
          </w:p>
          <w:p w14:paraId="0F542411" w14:textId="77777777" w:rsidR="00D44482" w:rsidRDefault="00D44482" w:rsidP="008E2983">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29F860B1" w14:textId="77777777" w:rsidR="00D44482" w:rsidRDefault="00D44482" w:rsidP="008E2983">
            <w:pPr>
              <w:rPr>
                <w:rFonts w:eastAsia="SimSun"/>
              </w:rPr>
            </w:pPr>
            <w:r w:rsidRPr="000B7C76">
              <w:rPr>
                <w:rFonts w:eastAsia="SimSun"/>
              </w:rPr>
              <w:t xml:space="preserve">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in its </w:t>
            </w:r>
            <w:r w:rsidRPr="000B7C76">
              <w:rPr>
                <w:rFonts w:eastAsia="SimSun"/>
                <w:i/>
              </w:rPr>
              <w:t xml:space="preserve">resolves </w:t>
            </w:r>
            <w:r w:rsidRPr="001A2B85">
              <w:rPr>
                <w:rFonts w:eastAsia="SimSun"/>
                <w:iCs/>
              </w:rPr>
              <w:t xml:space="preserve">15 </w:t>
            </w:r>
            <w:r>
              <w:rPr>
                <w:rFonts w:eastAsia="SimSun"/>
              </w:rPr>
              <w:t xml:space="preserve">identifies the need to develop power flux-density (pfd) hard limits to protect terrestrial services from emission from the Unmanned Aircraft Earth Station (UAES). </w:t>
            </w:r>
            <w:ins w:id="6" w:author="Author">
              <w:r>
                <w:rPr>
                  <w:rFonts w:eastAsia="SimSun"/>
                </w:rPr>
                <w:t>E</w:t>
              </w:r>
            </w:ins>
            <w:del w:id="7" w:author="Author">
              <w:r w:rsidDel="00562835">
                <w:rPr>
                  <w:rFonts w:eastAsia="SimSun"/>
                </w:rPr>
                <w:delText>An e</w:delText>
              </w:r>
            </w:del>
            <w:r>
              <w:rPr>
                <w:rFonts w:eastAsia="SimSun"/>
              </w:rPr>
              <w:t xml:space="preserve">xamples for such hard limits are given in Annex 2 to 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w:t>
            </w:r>
            <w:r w:rsidRPr="00286964">
              <w:rPr>
                <w:rFonts w:eastAsia="SimSun"/>
                <w:i/>
              </w:rPr>
              <w:t>Resolves 16</w:t>
            </w:r>
            <w:r>
              <w:rPr>
                <w:rFonts w:eastAsia="SimSun"/>
              </w:rPr>
              <w:t xml:space="preserve"> of 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asks for a review of the pfd limits given in its Annex 2, and that WRC-23 shall review and, if necessary, revise those pfd limits.</w:t>
            </w:r>
          </w:p>
          <w:p w14:paraId="38A228D6" w14:textId="77777777" w:rsidR="00D44482" w:rsidRDefault="00D44482" w:rsidP="008E2983">
            <w:pPr>
              <w:rPr>
                <w:rFonts w:eastAsia="SimSun"/>
              </w:rPr>
            </w:pPr>
            <w:r>
              <w:rPr>
                <w:rFonts w:eastAsia="SimSun"/>
              </w:rPr>
              <w:t xml:space="preserve">In accordance with “invites ITU-R” of Resolution </w:t>
            </w:r>
            <w:r w:rsidRPr="00303806">
              <w:rPr>
                <w:rFonts w:eastAsia="SimSun"/>
                <w:b/>
              </w:rPr>
              <w:t>155 (</w:t>
            </w:r>
            <w:r>
              <w:rPr>
                <w:rFonts w:eastAsia="SimSun"/>
                <w:b/>
              </w:rPr>
              <w:t>Rev.</w:t>
            </w:r>
            <w:r w:rsidRPr="00303806">
              <w:rPr>
                <w:rFonts w:eastAsia="SimSun"/>
                <w:b/>
              </w:rPr>
              <w:t>WRC-1</w:t>
            </w:r>
            <w:r>
              <w:rPr>
                <w:rFonts w:eastAsia="SimSun"/>
                <w:b/>
              </w:rPr>
              <w:t>9</w:t>
            </w:r>
            <w:r w:rsidRPr="00303806">
              <w:rPr>
                <w:rFonts w:eastAsia="SimSun"/>
                <w:b/>
              </w:rPr>
              <w:t>)</w:t>
            </w:r>
            <w:r>
              <w:rPr>
                <w:rFonts w:eastAsia="SimSun"/>
              </w:rPr>
              <w:t xml:space="preserve"> studies described in this Report were performed in order to assist in determining the need to review and, if necessary, revise the pfd limits contained in Annex 2 of 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w:t>
            </w:r>
          </w:p>
          <w:p w14:paraId="40057EF8" w14:textId="77777777" w:rsidR="00D44482" w:rsidRDefault="00D44482" w:rsidP="008E2983">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2DE4D925" w14:textId="77777777" w:rsidR="00D44482" w:rsidRDefault="00D44482" w:rsidP="008E2983">
            <w:r w:rsidRPr="00922D68">
              <w:t xml:space="preserve">The United States of America proposes to </w:t>
            </w:r>
            <w:r>
              <w:t>assist in answering the above resolves with the attached contribution, which analyses the pfd required to protect the Fixed Service in frequency bands which the FS shares with the FSS.</w:t>
            </w:r>
          </w:p>
          <w:p w14:paraId="3F6B2D3E" w14:textId="77777777" w:rsidR="00D44482" w:rsidRDefault="00D44482" w:rsidP="008E2983">
            <w:r>
              <w:t>Since this report had been develop over the last study cycle and was substantially finished early last year the USA is proposing to update the status of the Report to a Draft New Report.</w:t>
            </w:r>
          </w:p>
          <w:p w14:paraId="0DB38456" w14:textId="77777777" w:rsidR="00D44482" w:rsidRPr="00020948" w:rsidRDefault="00D44482" w:rsidP="008E2983">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p>
          <w:p w14:paraId="3AE87E6E" w14:textId="77777777" w:rsidR="00D44482" w:rsidRPr="00020948" w:rsidRDefault="00D44482" w:rsidP="008E2983">
            <w:pPr>
              <w:tabs>
                <w:tab w:val="clear" w:pos="794"/>
                <w:tab w:val="clear" w:pos="1191"/>
                <w:tab w:val="clear" w:pos="1588"/>
                <w:tab w:val="clear" w:pos="1985"/>
                <w:tab w:val="left" w:pos="1134"/>
                <w:tab w:val="left" w:pos="1871"/>
                <w:tab w:val="left" w:pos="2268"/>
              </w:tabs>
              <w:jc w:val="both"/>
              <w:rPr>
                <w:b/>
                <w:lang w:val="en-US"/>
              </w:rPr>
            </w:pPr>
            <w:r w:rsidRPr="00020948">
              <w:rPr>
                <w:b/>
                <w:lang w:val="en-US"/>
              </w:rPr>
              <w:t>Attachment:</w:t>
            </w:r>
          </w:p>
          <w:p w14:paraId="04471BBB" w14:textId="77777777" w:rsidR="00D44482" w:rsidRPr="00020948" w:rsidRDefault="00D44482" w:rsidP="008E2983">
            <w:pPr>
              <w:tabs>
                <w:tab w:val="clear" w:pos="794"/>
                <w:tab w:val="clear" w:pos="1191"/>
                <w:tab w:val="clear" w:pos="1588"/>
                <w:tab w:val="clear" w:pos="1985"/>
                <w:tab w:val="left" w:pos="1134"/>
                <w:tab w:val="left" w:pos="1871"/>
                <w:tab w:val="left" w:pos="2268"/>
              </w:tabs>
              <w:jc w:val="both"/>
              <w:rPr>
                <w:rFonts w:eastAsia="MS Mincho"/>
                <w:lang w:val="en-US"/>
              </w:rPr>
            </w:pPr>
          </w:p>
          <w:p w14:paraId="36FF7946" w14:textId="77777777" w:rsidR="00D44482" w:rsidRPr="00020948" w:rsidRDefault="00D44482" w:rsidP="008E2983">
            <w:pPr>
              <w:tabs>
                <w:tab w:val="clear" w:pos="794"/>
                <w:tab w:val="clear" w:pos="1191"/>
                <w:tab w:val="clear" w:pos="1588"/>
                <w:tab w:val="clear" w:pos="1985"/>
                <w:tab w:val="left" w:pos="1134"/>
                <w:tab w:val="left" w:pos="1871"/>
                <w:tab w:val="left" w:pos="2268"/>
              </w:tabs>
              <w:rPr>
                <w:rFonts w:eastAsia="MS Mincho"/>
                <w:lang w:val="en-US"/>
              </w:rPr>
            </w:pPr>
          </w:p>
        </w:tc>
      </w:tr>
    </w:tbl>
    <w:p w14:paraId="5E7AF6B0" w14:textId="77777777" w:rsidR="00D44482" w:rsidRDefault="00D44482" w:rsidP="0073325C">
      <w:pPr>
        <w:rPr>
          <w:szCs w:val="24"/>
        </w:rPr>
      </w:pPr>
    </w:p>
    <w:p w14:paraId="289D8985" w14:textId="3EB18357" w:rsidR="00A94643" w:rsidRDefault="00A94643" w:rsidP="0073325C">
      <w:pPr>
        <w:rPr>
          <w:szCs w:val="24"/>
        </w:rPr>
      </w:pPr>
    </w:p>
    <w:p w14:paraId="3B087A25" w14:textId="51B00169" w:rsidR="00E622E1" w:rsidRDefault="00E622E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4DD732D2" w14:textId="43BDE883" w:rsidR="00A94643" w:rsidRDefault="00A94643" w:rsidP="00A94643">
      <w:pPr>
        <w:jc w:val="center"/>
        <w:rPr>
          <w:szCs w:val="24"/>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FA6C0D" w:rsidRPr="00FA6C0D" w14:paraId="68AB6E44" w14:textId="77777777" w:rsidTr="00322C38">
        <w:trPr>
          <w:cantSplit/>
        </w:trPr>
        <w:tc>
          <w:tcPr>
            <w:tcW w:w="9889" w:type="dxa"/>
          </w:tcPr>
          <w:p w14:paraId="10FB881B" w14:textId="77777777" w:rsid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t>attachment</w:t>
            </w:r>
            <w:r w:rsidRPr="00FA6C0D">
              <w:rPr>
                <w:rFonts w:ascii="Times New Roman Bold" w:hAnsi="Times New Roman Bold"/>
                <w:b/>
                <w:sz w:val="28"/>
                <w:lang w:eastAsia="zh-CN"/>
              </w:rPr>
              <w:t xml:space="preserve"> </w:t>
            </w:r>
          </w:p>
          <w:p w14:paraId="42AAA127" w14:textId="3320D52D" w:rsidR="00FA6C0D" w:rsidRPr="00020948" w:rsidRDefault="00FA6C0D" w:rsidP="00FA6C0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del w:id="8" w:author="Author">
              <w:r w:rsidRPr="00020948" w:rsidDel="00816499">
                <w:rPr>
                  <w:rFonts w:eastAsia="MS Mincho"/>
                  <w:caps/>
                  <w:sz w:val="28"/>
                  <w:lang w:val="en-US"/>
                </w:rPr>
                <w:delText>PR</w:delText>
              </w:r>
              <w:r w:rsidDel="00816499">
                <w:rPr>
                  <w:rFonts w:eastAsia="MS Mincho"/>
                  <w:caps/>
                  <w:sz w:val="28"/>
                  <w:lang w:val="en-US"/>
                </w:rPr>
                <w:delText xml:space="preserve">ELIMINARY </w:delText>
              </w:r>
            </w:del>
            <w:r>
              <w:rPr>
                <w:rFonts w:eastAsia="MS Mincho"/>
                <w:caps/>
                <w:sz w:val="28"/>
                <w:lang w:val="en-US"/>
              </w:rPr>
              <w:t>DRAFT NEW REPORTITU-R M.[UA_PFD]</w:t>
            </w:r>
          </w:p>
          <w:p w14:paraId="49840472" w14:textId="524B69BC"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FA6C0D">
              <w:rPr>
                <w:rFonts w:ascii="Times New Roman Bold" w:hAnsi="Times New Roman Bold"/>
                <w:b/>
                <w:sz w:val="28"/>
                <w:lang w:eastAsia="zh-CN"/>
              </w:rPr>
              <w:t xml:space="preserve">Review of power flux-density limits in accordance with </w:t>
            </w:r>
            <w:r w:rsidRPr="00FA6C0D">
              <w:rPr>
                <w:rFonts w:ascii="Times New Roman Bold" w:hAnsi="Times New Roman Bold"/>
                <w:b/>
                <w:i/>
                <w:iCs/>
                <w:sz w:val="28"/>
                <w:lang w:eastAsia="zh-CN"/>
              </w:rPr>
              <w:t>resolves</w:t>
            </w:r>
            <w:r w:rsidRPr="00FA6C0D">
              <w:rPr>
                <w:rFonts w:ascii="Times New Roman Bold" w:hAnsi="Times New Roman Bold"/>
                <w:b/>
                <w:sz w:val="28"/>
                <w:lang w:eastAsia="zh-CN"/>
              </w:rPr>
              <w:t xml:space="preserve"> 16</w:t>
            </w:r>
            <w:r w:rsidRPr="00FA6C0D">
              <w:rPr>
                <w:rFonts w:ascii="Times New Roman Bold" w:hAnsi="Times New Roman Bold"/>
                <w:b/>
                <w:sz w:val="28"/>
                <w:lang w:eastAsia="zh-CN"/>
              </w:rPr>
              <w:br/>
              <w:t>of Resolution 155 (</w:t>
            </w:r>
            <w:del w:id="9" w:author="Author">
              <w:r w:rsidRPr="00FA6C0D" w:rsidDel="00816499">
                <w:rPr>
                  <w:rFonts w:ascii="Times New Roman Bold" w:hAnsi="Times New Roman Bold"/>
                  <w:b/>
                  <w:sz w:val="28"/>
                  <w:lang w:eastAsia="zh-CN"/>
                </w:rPr>
                <w:delText>WRC-15</w:delText>
              </w:r>
            </w:del>
            <w:ins w:id="10" w:author="Author">
              <w:r w:rsidR="00816499">
                <w:rPr>
                  <w:rFonts w:ascii="Times New Roman Bold" w:hAnsi="Times New Roman Bold"/>
                  <w:b/>
                  <w:sz w:val="28"/>
                  <w:lang w:eastAsia="zh-CN"/>
                </w:rPr>
                <w:t>R</w:t>
              </w:r>
              <w:r w:rsidR="0021056E">
                <w:rPr>
                  <w:rFonts w:ascii="Times New Roman Bold" w:hAnsi="Times New Roman Bold"/>
                  <w:b/>
                  <w:sz w:val="28"/>
                  <w:lang w:eastAsia="zh-CN"/>
                </w:rPr>
                <w:t>ev</w:t>
              </w:r>
              <w:r w:rsidR="00816499">
                <w:rPr>
                  <w:rFonts w:ascii="Times New Roman Bold" w:hAnsi="Times New Roman Bold"/>
                  <w:b/>
                  <w:sz w:val="28"/>
                  <w:lang w:eastAsia="zh-CN"/>
                </w:rPr>
                <w:t>.WRC-19</w:t>
              </w:r>
            </w:ins>
            <w:r w:rsidRPr="00FA6C0D">
              <w:rPr>
                <w:rFonts w:ascii="Times New Roman Bold" w:hAnsi="Times New Roman Bold"/>
                <w:b/>
                <w:sz w:val="28"/>
                <w:lang w:eastAsia="zh-CN"/>
              </w:rPr>
              <w:t>)</w:t>
            </w:r>
          </w:p>
        </w:tc>
      </w:tr>
    </w:tbl>
    <w:p w14:paraId="13B213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bookmarkStart w:id="11" w:name="dbreak"/>
      <w:bookmarkEnd w:id="11"/>
      <w:r w:rsidRPr="00FA6C0D">
        <w:rPr>
          <w:rFonts w:ascii="Times New Roman Bold" w:hAnsi="Times New Roman Bold" w:cs="Times New Roman Bold"/>
          <w:b/>
        </w:rPr>
        <w:t>Keywords</w:t>
      </w:r>
    </w:p>
    <w:p w14:paraId="319A45D6"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067601A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Abbreviations/Glossary </w:t>
      </w:r>
    </w:p>
    <w:p w14:paraId="782B290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CCDF:</w:t>
      </w:r>
      <w:r w:rsidRPr="00FA6C0D">
        <w:tab/>
        <w:t>Complementary cumulative distribution function</w:t>
      </w:r>
    </w:p>
    <w:p w14:paraId="2AD0FF6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CNPC:</w:t>
      </w:r>
      <w:r w:rsidRPr="00FA6C0D">
        <w:tab/>
        <w:t>Command and non-payload communication</w:t>
      </w:r>
    </w:p>
    <w:p w14:paraId="2EE3E06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FDP:</w:t>
      </w:r>
      <w:r w:rsidRPr="00FA6C0D">
        <w:tab/>
        <w:t>fractional degradation of performance</w:t>
      </w:r>
    </w:p>
    <w:p w14:paraId="77238C4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rPr>
          <w:i/>
          <w:iCs/>
        </w:rPr>
        <w:t>I/N</w:t>
      </w:r>
      <w:r w:rsidRPr="00FA6C0D">
        <w:t>:</w:t>
      </w:r>
      <w:r w:rsidRPr="00FA6C0D">
        <w:tab/>
        <w:t>Interference to noise</w:t>
      </w:r>
    </w:p>
    <w:p w14:paraId="29CA667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LTPC:</w:t>
      </w:r>
      <w:r w:rsidRPr="00FA6C0D">
        <w:tab/>
        <w:t>Long-term protection criterion</w:t>
      </w:r>
    </w:p>
    <w:p w14:paraId="54CA1D9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pfd:</w:t>
      </w:r>
      <w:r w:rsidRPr="00FA6C0D">
        <w:tab/>
        <w:t>Power flux density</w:t>
      </w:r>
    </w:p>
    <w:p w14:paraId="68DD86A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STPC:</w:t>
      </w:r>
      <w:r w:rsidRPr="00FA6C0D">
        <w:tab/>
        <w:t>Short-term protection criterion</w:t>
      </w:r>
    </w:p>
    <w:p w14:paraId="15830D2F"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w:t>
      </w:r>
      <w:r w:rsidRPr="00FA6C0D">
        <w:tab/>
        <w:t>Unmanned aircraft</w:t>
      </w:r>
    </w:p>
    <w:p w14:paraId="5F9D821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UAS:</w:t>
      </w:r>
      <w:r w:rsidRPr="00FA6C0D">
        <w:tab/>
        <w:t>Unmanned aircraft systems</w:t>
      </w:r>
    </w:p>
    <w:p w14:paraId="38957BA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rPr>
      </w:pPr>
      <w:r w:rsidRPr="00FA6C0D">
        <w:rPr>
          <w:rFonts w:ascii="Times New Roman Bold" w:eastAsia="SimSun" w:hAnsi="Times New Roman Bold" w:cs="Times New Roman Bold"/>
          <w:b/>
        </w:rPr>
        <w:t>Related ITU Recommendations, Reports</w:t>
      </w:r>
    </w:p>
    <w:p w14:paraId="59B5D62A"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9" w:history="1">
        <w:r w:rsidRPr="00FA6C0D">
          <w:rPr>
            <w:color w:val="0000FF" w:themeColor="hyperlink"/>
            <w:u w:val="single"/>
          </w:rPr>
          <w:t>F.758</w:t>
        </w:r>
      </w:hyperlink>
      <w:r w:rsidRPr="00FA6C0D">
        <w:t xml:space="preserve"> </w:t>
      </w:r>
      <w:r w:rsidRPr="00FA6C0D">
        <w:tab/>
      </w:r>
      <w:r w:rsidRPr="00FA6C0D">
        <w:rPr>
          <w:lang w:eastAsia="zh-CN"/>
        </w:rPr>
        <w:t>System parameters and considerations in the development of criteria for sharing or compatibility between digital fixed wireless systems in the fixed service and systems in other services and other sources of interference</w:t>
      </w:r>
    </w:p>
    <w:p w14:paraId="2FE5E5F2"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lang w:eastAsia="zh-CN"/>
        </w:rPr>
      </w:pPr>
      <w:r w:rsidRPr="00FA6C0D">
        <w:rPr>
          <w:color w:val="0000FF" w:themeColor="hyperlink"/>
          <w:u w:val="single"/>
        </w:rPr>
        <w:t xml:space="preserve">ITU-R </w:t>
      </w:r>
      <w:hyperlink r:id="rId10" w:history="1">
        <w:r w:rsidRPr="00FA6C0D">
          <w:rPr>
            <w:color w:val="0000FF" w:themeColor="hyperlink"/>
            <w:u w:val="single"/>
          </w:rPr>
          <w:t>F.1108</w:t>
        </w:r>
      </w:hyperlink>
      <w:r w:rsidRPr="00FA6C0D">
        <w:tab/>
        <w:t>Determination of the criteria to protect fixed service receivers from the emissions of space stations operating in non-geostationary orbits in shared frequency bands</w:t>
      </w:r>
    </w:p>
    <w:p w14:paraId="21B342D7"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olor w:val="0000FF" w:themeColor="hyperlink"/>
          <w:u w:val="single"/>
        </w:rPr>
      </w:pPr>
      <w:r w:rsidRPr="00FA6C0D">
        <w:rPr>
          <w:color w:val="0000FF" w:themeColor="hyperlink"/>
          <w:u w:val="single"/>
        </w:rPr>
        <w:br w:type="page"/>
      </w:r>
    </w:p>
    <w:p w14:paraId="75180858"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pPr>
      <w:r w:rsidRPr="00FA6C0D">
        <w:rPr>
          <w:color w:val="0000FF" w:themeColor="hyperlink"/>
          <w:u w:val="single"/>
        </w:rPr>
        <w:lastRenderedPageBreak/>
        <w:t xml:space="preserve">ITU-R </w:t>
      </w:r>
      <w:hyperlink r:id="rId11" w:history="1">
        <w:r w:rsidRPr="00FA6C0D">
          <w:rPr>
            <w:color w:val="0000FF" w:themeColor="hyperlink"/>
            <w:u w:val="single"/>
          </w:rPr>
          <w:t>F.1245</w:t>
        </w:r>
      </w:hyperlink>
      <w:r w:rsidRPr="00FA6C0D">
        <w:rPr>
          <w:color w:val="0000FF" w:themeColor="hyperlink"/>
        </w:rPr>
        <w:tab/>
      </w:r>
      <w:r w:rsidRPr="00FA6C0D">
        <w:t>Mathematical model of average and related radiation patterns for line-of-sight point-to-point fixed wireless system antennas for use in certain coordination studies and interference assessment in the frequency range from 1 GHz to about 70 GHz</w:t>
      </w:r>
    </w:p>
    <w:p w14:paraId="36051ACB"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12" w:history="1">
        <w:r w:rsidRPr="00FA6C0D">
          <w:rPr>
            <w:color w:val="0000FF" w:themeColor="hyperlink"/>
            <w:u w:val="single"/>
          </w:rPr>
          <w:t>M.1643</w:t>
        </w:r>
      </w:hyperlink>
      <w:r w:rsidRPr="00FA6C0D">
        <w:rPr>
          <w:color w:val="0000FF" w:themeColor="hyperlink"/>
          <w:lang w:eastAsia="zh-CN"/>
        </w:rPr>
        <w:tab/>
      </w:r>
      <w:r w:rsidRPr="00FA6C0D">
        <w:rPr>
          <w:lang w:eastAsia="zh-CN"/>
        </w:rPr>
        <w:t>Technical and operational requirements for aircraft earth stations of aeronautical mobile-satellite service including those using fixed-satellite service network transponders in the band 14-14.5 GHz (Earth-to-space)</w:t>
      </w:r>
    </w:p>
    <w:p w14:paraId="7CE1BD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Introduction </w:t>
      </w:r>
    </w:p>
    <w:p w14:paraId="7B273D55" w14:textId="322431F5"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Resolution </w:t>
      </w:r>
      <w:r w:rsidRPr="00FA6C0D">
        <w:rPr>
          <w:rFonts w:eastAsia="SimSun"/>
          <w:b/>
        </w:rPr>
        <w:t>155 (</w:t>
      </w:r>
      <w:del w:id="12" w:author="Author">
        <w:r w:rsidRPr="00FA6C0D" w:rsidDel="00816499">
          <w:rPr>
            <w:rFonts w:eastAsia="SimSun"/>
            <w:b/>
          </w:rPr>
          <w:delText>WRC-15</w:delText>
        </w:r>
      </w:del>
      <w:ins w:id="13"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in its </w:t>
      </w:r>
      <w:r w:rsidRPr="00FA6C0D">
        <w:rPr>
          <w:rFonts w:eastAsia="SimSun"/>
          <w:i/>
        </w:rPr>
        <w:t xml:space="preserve">resolves </w:t>
      </w:r>
      <w:r w:rsidRPr="00FA6C0D">
        <w:rPr>
          <w:rFonts w:eastAsia="SimSun"/>
          <w:iCs/>
        </w:rPr>
        <w:t>15</w:t>
      </w:r>
      <w:r w:rsidRPr="00FA6C0D">
        <w:rPr>
          <w:rFonts w:eastAsia="SimSun"/>
        </w:rPr>
        <w:t xml:space="preserve"> identifies that </w:t>
      </w:r>
      <w:r w:rsidRPr="00FA6C0D">
        <w:t xml:space="preserve">power flux-density (pfd) hard limits </w:t>
      </w:r>
      <w:r w:rsidRPr="00FA6C0D">
        <w:rPr>
          <w:rFonts w:eastAsia="SimSun"/>
        </w:rPr>
        <w:t xml:space="preserve">that need to </w:t>
      </w:r>
      <w:r w:rsidRPr="00FA6C0D">
        <w:t>be developed for unmanned aircraft systems (UAS) command and non-payload communication (CNPC) links</w:t>
      </w:r>
      <w:r w:rsidRPr="00FA6C0D">
        <w:rPr>
          <w:rFonts w:eastAsia="SimSun"/>
        </w:rPr>
        <w:t xml:space="preserve">; </w:t>
      </w:r>
      <w:r w:rsidRPr="00FA6C0D">
        <w:t xml:space="preserve">one possible example of such a provisional limit to protect the </w:t>
      </w:r>
      <w:r w:rsidRPr="00FA6C0D">
        <w:rPr>
          <w:strike/>
        </w:rPr>
        <w:t>f</w:t>
      </w:r>
      <w:r w:rsidRPr="00FA6C0D">
        <w:t>ixed service is provided in its Annex 2</w:t>
      </w:r>
    </w:p>
    <w:p w14:paraId="2B68DF7D" w14:textId="319D439F"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i/>
          <w:iCs/>
        </w:rPr>
        <w:t>Resolves</w:t>
      </w:r>
      <w:r w:rsidRPr="00FA6C0D">
        <w:rPr>
          <w:rFonts w:eastAsia="SimSun"/>
        </w:rPr>
        <w:t xml:space="preserve"> 16 of Resolution </w:t>
      </w:r>
      <w:r w:rsidRPr="00FA6C0D">
        <w:rPr>
          <w:rFonts w:eastAsia="SimSun"/>
          <w:b/>
        </w:rPr>
        <w:t>155 (</w:t>
      </w:r>
      <w:del w:id="14" w:author="Author">
        <w:r w:rsidRPr="00FA6C0D" w:rsidDel="00816499">
          <w:rPr>
            <w:rFonts w:eastAsia="SimSun"/>
            <w:b/>
          </w:rPr>
          <w:delText>WRC-15</w:delText>
        </w:r>
      </w:del>
      <w:ins w:id="15"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asks for a review of the pfd limits given in its Annex 2, and that WRC-19 shall review and, if necessary, revise those pfd limits. This resolves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715290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There seems to be discrepancies between the language used in these resolves e.g. </w:t>
      </w:r>
      <w:r w:rsidRPr="00FA6C0D">
        <w:rPr>
          <w:rFonts w:eastAsia="SimSun"/>
          <w:i/>
          <w:iCs/>
        </w:rPr>
        <w:t>resolves</w:t>
      </w:r>
      <w:r w:rsidRPr="00FA6C0D">
        <w:rPr>
          <w:rFonts w:eastAsia="SimSun"/>
        </w:rPr>
        <w:t xml:space="preserve"> 14 referred to the UAS-CNPC shall not cause harmful interference to the terrestrial service. Under RR. Nos. </w:t>
      </w:r>
      <w:r w:rsidRPr="00FA6C0D">
        <w:rPr>
          <w:rFonts w:eastAsia="SimSun"/>
          <w:b/>
          <w:bCs/>
        </w:rPr>
        <w:t>5.43</w:t>
      </w:r>
      <w:r w:rsidRPr="00FA6C0D">
        <w:rPr>
          <w:rFonts w:eastAsia="SimSun"/>
        </w:rPr>
        <w:t xml:space="preserve"> and </w:t>
      </w:r>
      <w:r w:rsidRPr="00FA6C0D">
        <w:rPr>
          <w:rFonts w:eastAsia="SimSun"/>
          <w:b/>
          <w:bCs/>
        </w:rPr>
        <w:t>5.43A</w:t>
      </w:r>
      <w:r w:rsidRPr="00FA6C0D">
        <w:rPr>
          <w:rFonts w:eastAsia="SimSun"/>
        </w:rPr>
        <w:t xml:space="preserve"> it implies that UAS-CNPC also shall not claim protection from terrestrial. This implies that UAS CNPC will operate under non-protection, non-interference basis (e.g. secondary status) this inconsistency needs to be addressed. </w:t>
      </w:r>
    </w:p>
    <w:p w14:paraId="07882DDC" w14:textId="405429F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In reviewing Annex 2 of Resolution </w:t>
      </w:r>
      <w:r w:rsidRPr="00FA6C0D">
        <w:rPr>
          <w:rFonts w:eastAsia="SimSun"/>
          <w:b/>
          <w:bCs/>
        </w:rPr>
        <w:t>155</w:t>
      </w:r>
      <w:r w:rsidRPr="00FA6C0D">
        <w:rPr>
          <w:rFonts w:eastAsia="SimSun"/>
        </w:rPr>
        <w:t xml:space="preserve"> it was noted that while resolves 16 </w:t>
      </w:r>
      <w:r w:rsidR="00E94F14" w:rsidRPr="00FA6C0D">
        <w:rPr>
          <w:rFonts w:eastAsia="SimSun"/>
        </w:rPr>
        <w:t>referred</w:t>
      </w:r>
      <w:r w:rsidRPr="00FA6C0D">
        <w:rPr>
          <w:rFonts w:eastAsia="SimSun"/>
        </w:rPr>
        <w:t xml:space="preserve"> to the pfd hard limit to be reviewed which in reality merely understood to be the fixed service however </w:t>
      </w:r>
      <w:r w:rsidRPr="00FA6C0D">
        <w:rPr>
          <w:rFonts w:eastAsia="SimSun"/>
          <w:i/>
          <w:iCs/>
        </w:rPr>
        <w:t>resolves</w:t>
      </w:r>
      <w:r w:rsidRPr="00FA6C0D">
        <w:rPr>
          <w:rFonts w:eastAsia="SimSun"/>
        </w:rPr>
        <w:t xml:space="preserve"> 14 made reference to the terrestrial services, consequently inconsistencies need to be addressed. Noting that terrestrial services are not limited to the fixed service.</w:t>
      </w:r>
    </w:p>
    <w:p w14:paraId="0E53FA36" w14:textId="708EEDBC"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In accordance with “</w:t>
      </w:r>
      <w:r w:rsidRPr="00FA6C0D">
        <w:rPr>
          <w:rFonts w:eastAsia="SimSun"/>
          <w:i/>
          <w:iCs/>
        </w:rPr>
        <w:t>invites ITU-R</w:t>
      </w:r>
      <w:r w:rsidRPr="00FA6C0D">
        <w:rPr>
          <w:rFonts w:eastAsia="SimSun"/>
        </w:rPr>
        <w:t xml:space="preserve">” of Resolution </w:t>
      </w:r>
      <w:r w:rsidRPr="00FA6C0D">
        <w:rPr>
          <w:rFonts w:eastAsia="SimSun"/>
          <w:b/>
        </w:rPr>
        <w:t>155 (</w:t>
      </w:r>
      <w:del w:id="16" w:author="Author">
        <w:r w:rsidRPr="00FA6C0D" w:rsidDel="00816499">
          <w:rPr>
            <w:rFonts w:eastAsia="SimSun"/>
            <w:b/>
          </w:rPr>
          <w:delText>WRC-15</w:delText>
        </w:r>
      </w:del>
      <w:ins w:id="17"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 xml:space="preserve"> studies contained in this Report were performed in order to assist in determining the need to review and provide technical parameters to revise, as appropriate, the pfd limits contained in Resolution </w:t>
      </w:r>
      <w:r w:rsidRPr="00FA6C0D">
        <w:rPr>
          <w:rFonts w:eastAsia="SimSun"/>
          <w:b/>
        </w:rPr>
        <w:t>155 (</w:t>
      </w:r>
      <w:del w:id="18" w:author="Author">
        <w:r w:rsidRPr="00FA6C0D" w:rsidDel="00816499">
          <w:rPr>
            <w:rFonts w:eastAsia="SimSun"/>
            <w:b/>
          </w:rPr>
          <w:delText>WRC-15</w:delText>
        </w:r>
      </w:del>
      <w:ins w:id="19"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w:t>
      </w:r>
    </w:p>
    <w:p w14:paraId="46B2A051" w14:textId="77777777" w:rsidR="00FA6C0D" w:rsidRPr="00FA6C0D" w:rsidRDefault="00FA6C0D" w:rsidP="00FA6C0D">
      <w:pPr>
        <w:tabs>
          <w:tab w:val="clear" w:pos="794"/>
          <w:tab w:val="clear" w:pos="1191"/>
          <w:tab w:val="clear" w:pos="1588"/>
          <w:tab w:val="clear" w:pos="1985"/>
          <w:tab w:val="left" w:pos="1134"/>
          <w:tab w:val="left" w:pos="1871"/>
          <w:tab w:val="left" w:pos="2268"/>
          <w:tab w:val="left" w:pos="6660"/>
        </w:tabs>
        <w:rPr>
          <w:lang w:eastAsia="zh-CN"/>
        </w:rPr>
      </w:pPr>
      <w:r w:rsidRPr="00FA6C0D">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4DBD0DD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#1</w:t>
      </w:r>
      <w:r w:rsidRPr="00FA6C0D">
        <w:rPr>
          <w:lang w:eastAsia="zh-CN"/>
        </w:rPr>
        <w:t xml:space="preserve">: 14-14.3 GHz – For protection of the terrestrial services in the countries listed in RR No. </w:t>
      </w:r>
      <w:r w:rsidRPr="00FA6C0D">
        <w:rPr>
          <w:b/>
          <w:bCs/>
        </w:rPr>
        <w:t>5.505</w:t>
      </w:r>
      <w:r w:rsidRPr="00FA6C0D">
        <w:rPr>
          <w:b/>
        </w:rPr>
        <w:t xml:space="preserve"> </w:t>
      </w:r>
      <w:r w:rsidRPr="00FA6C0D">
        <w:t>(see Annex 2)</w:t>
      </w:r>
      <w:r w:rsidRPr="00FA6C0D">
        <w:rPr>
          <w:lang w:eastAsia="zh-CN"/>
        </w:rPr>
        <w:t>.</w:t>
      </w:r>
    </w:p>
    <w:p w14:paraId="68C8660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#2</w:t>
      </w:r>
      <w:r w:rsidRPr="00FA6C0D">
        <w:rPr>
          <w:lang w:eastAsia="zh-CN"/>
        </w:rPr>
        <w:t>: 14.25-14.47 GHz – For protection of the terrestrial services in this frequency range for relevant administrations not being subject of study #1 (see Annex 3).</w:t>
      </w:r>
    </w:p>
    <w:p w14:paraId="6AFE85C9"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These studies only consider the protection of the fixed service since characteristics for other terrestrial services to which this frequency band is allocated are not available, but it can be </w:t>
      </w:r>
      <w:r w:rsidRPr="00FA6C0D">
        <w:rPr>
          <w:lang w:eastAsia="zh-CN"/>
        </w:rPr>
        <w:lastRenderedPageBreak/>
        <w:t>assumed that these other services would be appropriately protected with the technical conditions defined herein to protect the fixed service.</w:t>
      </w:r>
    </w:p>
    <w:p w14:paraId="415F6429"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It is therefore considered that the pfd limits which protect the fixed service would be sufficient for all terrestrial services which have allocations in these frequency bands.</w:t>
      </w:r>
    </w:p>
    <w:p w14:paraId="0392415B"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t>General comments</w:t>
      </w:r>
    </w:p>
    <w:p w14:paraId="1CE1E5F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rPr>
      </w:pPr>
      <w:r w:rsidRPr="00FA6C0D">
        <w:rPr>
          <w:rFonts w:eastAsia="SimSun"/>
          <w:color w:val="000000"/>
        </w:rPr>
        <w:t xml:space="preserve">During the </w:t>
      </w:r>
      <w:r w:rsidRPr="00FA6C0D">
        <w:rPr>
          <w:rFonts w:eastAsia="SimSun"/>
          <w:color w:val="000000"/>
          <w:lang w:eastAsia="zh-CN"/>
        </w:rPr>
        <w:t>development of</w:t>
      </w:r>
      <w:r w:rsidRPr="00FA6C0D">
        <w:rPr>
          <w:rFonts w:eastAsia="SimSun"/>
          <w:color w:val="000000"/>
        </w:rPr>
        <w:t xml:space="preserve"> this Report</w:t>
      </w:r>
      <w:r w:rsidRPr="00FA6C0D">
        <w:rPr>
          <w:rFonts w:eastAsia="SimSun"/>
          <w:color w:val="000000"/>
          <w:lang w:eastAsia="zh-CN"/>
        </w:rPr>
        <w:t>, the following</w:t>
      </w:r>
      <w:r w:rsidRPr="00FA6C0D">
        <w:rPr>
          <w:rFonts w:eastAsia="SimSun"/>
          <w:color w:val="000000"/>
        </w:rPr>
        <w:t xml:space="preserve"> </w:t>
      </w:r>
      <w:r w:rsidRPr="00FA6C0D">
        <w:rPr>
          <w:rFonts w:eastAsia="SimSun"/>
          <w:color w:val="000000"/>
          <w:lang w:eastAsia="zh-CN"/>
        </w:rPr>
        <w:t>concern</w:t>
      </w:r>
      <w:r w:rsidRPr="00FA6C0D">
        <w:rPr>
          <w:rFonts w:eastAsia="SimSun"/>
          <w:color w:val="000000"/>
        </w:rPr>
        <w:t>s on the applicability</w:t>
      </w:r>
      <w:r w:rsidRPr="00FA6C0D">
        <w:rPr>
          <w:rFonts w:eastAsia="SimSun"/>
          <w:color w:val="000000"/>
          <w:lang w:eastAsia="zh-CN"/>
        </w:rPr>
        <w:t xml:space="preserve"> </w:t>
      </w:r>
      <w:r w:rsidRPr="00FA6C0D">
        <w:rPr>
          <w:rFonts w:eastAsia="SimSun"/>
          <w:color w:val="000000"/>
        </w:rPr>
        <w:t>of a pfd limit were raised</w:t>
      </w:r>
      <w:r w:rsidRPr="00FA6C0D">
        <w:rPr>
          <w:rFonts w:eastAsia="SimSun"/>
          <w:color w:val="000000"/>
          <w:lang w:eastAsia="zh-CN"/>
        </w:rPr>
        <w:t>:</w:t>
      </w:r>
    </w:p>
    <w:p w14:paraId="214057D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 issue of how the earth station on board </w:t>
      </w:r>
      <w:r w:rsidRPr="00FA6C0D">
        <w:rPr>
          <w:rFonts w:eastAsia="SimSun"/>
          <w:color w:val="000000"/>
        </w:rPr>
        <w:t xml:space="preserve">any </w:t>
      </w:r>
      <w:r w:rsidRPr="00FA6C0D">
        <w:rPr>
          <w:rFonts w:eastAsia="SimSun"/>
        </w:rPr>
        <w:t xml:space="preserve">aircraft </w:t>
      </w:r>
      <w:r w:rsidRPr="00FA6C0D">
        <w:rPr>
          <w:rFonts w:eastAsia="SimSun"/>
          <w:color w:val="000000"/>
          <w:lang w:eastAsia="zh-CN"/>
        </w:rPr>
        <w:t>would</w:t>
      </w:r>
      <w:r w:rsidRPr="00FA6C0D">
        <w:rPr>
          <w:rFonts w:eastAsia="SimSun"/>
        </w:rPr>
        <w:t xml:space="preserve"> be coordinated with terrestrial system</w:t>
      </w:r>
      <w:r w:rsidRPr="00FA6C0D">
        <w:rPr>
          <w:rFonts w:eastAsia="SimSun"/>
          <w:color w:val="000000"/>
        </w:rPr>
        <w:t>s</w:t>
      </w:r>
      <w:r w:rsidRPr="00FA6C0D">
        <w:rPr>
          <w:rFonts w:eastAsia="SimSun"/>
        </w:rPr>
        <w:t xml:space="preserve"> has been </w:t>
      </w:r>
      <w:r w:rsidRPr="00FA6C0D">
        <w:rPr>
          <w:rFonts w:eastAsia="SimSun"/>
          <w:color w:val="000000"/>
        </w:rPr>
        <w:t xml:space="preserve">the </w:t>
      </w:r>
      <w:r w:rsidRPr="00FA6C0D">
        <w:rPr>
          <w:rFonts w:eastAsia="SimSun"/>
        </w:rPr>
        <w:t xml:space="preserve">subject </w:t>
      </w:r>
      <w:r w:rsidRPr="00FA6C0D">
        <w:rPr>
          <w:rFonts w:eastAsia="SimSun"/>
          <w:color w:val="000000"/>
        </w:rPr>
        <w:t>of</w:t>
      </w:r>
      <w:r w:rsidRPr="00FA6C0D">
        <w:rPr>
          <w:rFonts w:eastAsia="SimSun"/>
        </w:rPr>
        <w:t xml:space="preserve"> intensive discussions at various WARCS and WRCs </w:t>
      </w:r>
      <w:r w:rsidRPr="00FA6C0D">
        <w:rPr>
          <w:rFonts w:eastAsia="SimSun"/>
          <w:color w:val="000000"/>
        </w:rPr>
        <w:t>for</w:t>
      </w:r>
      <w:r w:rsidRPr="00FA6C0D">
        <w:rPr>
          <w:rFonts w:eastAsia="SimSun"/>
        </w:rPr>
        <w:t xml:space="preserve"> several decades. Currently there is no agreed established methodology to perform this task. The</w:t>
      </w:r>
      <w:r w:rsidRPr="00FA6C0D">
        <w:rPr>
          <w:rFonts w:eastAsia="SimSun"/>
          <w:color w:val="000000"/>
        </w:rPr>
        <w:t>re are two</w:t>
      </w:r>
      <w:r w:rsidRPr="00FA6C0D">
        <w:rPr>
          <w:rFonts w:eastAsia="SimSun"/>
        </w:rPr>
        <w:t xml:space="preserve"> reasons for </w:t>
      </w:r>
      <w:r w:rsidRPr="00FA6C0D">
        <w:rPr>
          <w:rFonts w:eastAsia="SimSun"/>
          <w:color w:val="000000"/>
        </w:rPr>
        <w:t>this</w:t>
      </w:r>
      <w:r w:rsidRPr="00FA6C0D">
        <w:rPr>
          <w:rFonts w:eastAsia="SimSun"/>
        </w:rPr>
        <w:t xml:space="preserve"> fact:</w:t>
      </w:r>
    </w:p>
    <w:p w14:paraId="3C770A3B"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eastAsia="SimSun"/>
        </w:rPr>
      </w:pPr>
      <w:r w:rsidRPr="00FA6C0D">
        <w:rPr>
          <w:rFonts w:eastAsia="SimSun"/>
          <w:lang w:eastAsia="zh-CN"/>
        </w:rPr>
        <w:t>1</w:t>
      </w:r>
      <w:r w:rsidRPr="00FA6C0D">
        <w:rPr>
          <w:rFonts w:eastAsia="SimSun"/>
          <w:lang w:eastAsia="zh-CN"/>
        </w:rPr>
        <w:tab/>
      </w:r>
      <w:r w:rsidRPr="00FA6C0D">
        <w:rPr>
          <w:rFonts w:eastAsia="SimSun"/>
        </w:rPr>
        <w:t>the aircraft earth station is considered as an aeronautical mobile satellite earth station for which there is no established procedure for coordination, and</w:t>
      </w:r>
    </w:p>
    <w:p w14:paraId="3DD05093"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ascii="Calibri" w:eastAsia="SimSun" w:hAnsi="Calibri" w:cs="Arial"/>
          <w:lang w:eastAsia="zh-CN"/>
        </w:rPr>
      </w:pPr>
      <w:r w:rsidRPr="00FA6C0D">
        <w:rPr>
          <w:rFonts w:eastAsia="SimSun"/>
        </w:rPr>
        <w:t>2</w:t>
      </w:r>
      <w:r w:rsidRPr="00FA6C0D">
        <w:rPr>
          <w:rFonts w:eastAsia="SimSun"/>
        </w:rPr>
        <w:tab/>
        <w:t>the</w:t>
      </w:r>
      <w:r w:rsidRPr="00FA6C0D">
        <w:rPr>
          <w:rFonts w:eastAsia="SimSun"/>
          <w:lang w:eastAsia="zh-CN"/>
        </w:rPr>
        <w:t xml:space="preserve"> involvements of many administrations over the territories of which the aircraft flies.</w:t>
      </w:r>
    </w:p>
    <w:p w14:paraId="7BAFFA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This issue is currently also being discussed under WRC-19 agenda item 1.5 (ESIM aircraft station).</w:t>
      </w:r>
    </w:p>
    <w:p w14:paraId="2933B8C6" w14:textId="364329E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There was some idea that such a type of earth station could be considered as a source of interference from an altitude above the ground to the surface of the </w:t>
      </w:r>
      <w:r w:rsidRPr="00FA6C0D">
        <w:rPr>
          <w:rFonts w:eastAsia="SimSun"/>
          <w:color w:val="000000"/>
        </w:rPr>
        <w:t>E</w:t>
      </w:r>
      <w:r w:rsidRPr="00FA6C0D">
        <w:rPr>
          <w:rFonts w:eastAsia="SimSun"/>
          <w:color w:val="000000" w:themeColor="text1"/>
        </w:rPr>
        <w:t xml:space="preserve">arth on which the terrestrial service would operate. One possible way to protect the service areas of those terrestrial services on the surface of the </w:t>
      </w:r>
      <w:r w:rsidRPr="00FA6C0D">
        <w:rPr>
          <w:rFonts w:eastAsia="SimSun"/>
          <w:color w:val="000000"/>
        </w:rPr>
        <w:t>E</w:t>
      </w:r>
      <w:r w:rsidRPr="00FA6C0D">
        <w:rPr>
          <w:rFonts w:eastAsia="SimSun"/>
          <w:color w:val="000000" w:themeColor="text1"/>
        </w:rPr>
        <w:t xml:space="preserve">arth is the establishment of an appropriate </w:t>
      </w:r>
      <w:r w:rsidRPr="00FA6C0D">
        <w:rPr>
          <w:rFonts w:eastAsia="SimSun"/>
          <w:color w:val="000000"/>
        </w:rPr>
        <w:t>pfd</w:t>
      </w:r>
      <w:r w:rsidRPr="00FA6C0D">
        <w:rPr>
          <w:rFonts w:eastAsia="SimSun"/>
          <w:color w:val="000000" w:themeColor="text1"/>
        </w:rPr>
        <w:t xml:space="preserve"> as a guideline to assist administration to evaluate whether or not such a CNPC/unmanned aircraft (UA)</w:t>
      </w:r>
      <w:r w:rsidRPr="00FA6C0D">
        <w:rPr>
          <w:rFonts w:eastAsia="SimSun"/>
          <w:color w:val="000000"/>
        </w:rPr>
        <w:t xml:space="preserve"> </w:t>
      </w:r>
      <w:r w:rsidRPr="00FA6C0D">
        <w:rPr>
          <w:rFonts w:eastAsia="SimSun"/>
          <w:color w:val="000000" w:themeColor="text1"/>
        </w:rPr>
        <w:t>protects their terrestrial service</w:t>
      </w:r>
      <w:r w:rsidRPr="00FA6C0D">
        <w:rPr>
          <w:rFonts w:eastAsia="SimSun"/>
          <w:color w:val="000000"/>
        </w:rPr>
        <w:t>,</w:t>
      </w:r>
      <w:r w:rsidRPr="00FA6C0D">
        <w:rPr>
          <w:rFonts w:eastAsia="SimSun"/>
          <w:color w:val="000000" w:themeColor="text1"/>
        </w:rPr>
        <w:t xml:space="preserve"> </w:t>
      </w:r>
      <w:r w:rsidRPr="00FA6C0D">
        <w:rPr>
          <w:rFonts w:eastAsia="SimSun"/>
          <w:color w:val="000000"/>
        </w:rPr>
        <w:t>b</w:t>
      </w:r>
      <w:r w:rsidRPr="00FA6C0D">
        <w:rPr>
          <w:rFonts w:eastAsia="SimSun"/>
          <w:color w:val="000000" w:themeColor="text1"/>
        </w:rPr>
        <w:t>ased on the terms and conditions described in the Resolution</w:t>
      </w:r>
      <w:r w:rsidRPr="00FA6C0D">
        <w:rPr>
          <w:rFonts w:eastAsia="SimSun"/>
          <w:color w:val="000000"/>
        </w:rPr>
        <w:t xml:space="preserve"> </w:t>
      </w:r>
      <w:r w:rsidRPr="00FA6C0D">
        <w:rPr>
          <w:rFonts w:eastAsia="SimSun"/>
          <w:b/>
          <w:color w:val="000000" w:themeColor="text1"/>
        </w:rPr>
        <w:t>155 (</w:t>
      </w:r>
      <w:del w:id="20" w:author="Author">
        <w:r w:rsidRPr="00FA6C0D" w:rsidDel="00816499">
          <w:rPr>
            <w:rFonts w:eastAsia="SimSun"/>
            <w:b/>
            <w:color w:val="000000" w:themeColor="text1"/>
          </w:rPr>
          <w:delText>WRC</w:delText>
        </w:r>
        <w:r w:rsidRPr="00FA6C0D" w:rsidDel="00816499">
          <w:rPr>
            <w:rFonts w:eastAsia="SimSun"/>
            <w:b/>
            <w:color w:val="000000"/>
          </w:rPr>
          <w:delText>-</w:delText>
        </w:r>
        <w:r w:rsidRPr="00FA6C0D" w:rsidDel="00816499">
          <w:rPr>
            <w:rFonts w:eastAsia="SimSun"/>
            <w:b/>
            <w:color w:val="000000" w:themeColor="text1"/>
          </w:rPr>
          <w:delText>15</w:delText>
        </w:r>
      </w:del>
      <w:ins w:id="21"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using the concept of </w:t>
      </w:r>
      <w:r w:rsidRPr="00FA6C0D">
        <w:rPr>
          <w:color w:val="000000" w:themeColor="text1"/>
        </w:rPr>
        <w:t>“</w:t>
      </w:r>
      <w:r w:rsidRPr="00FA6C0D">
        <w:rPr>
          <w:rFonts w:eastAsia="SimSun"/>
          <w:color w:val="000000" w:themeColor="text1"/>
        </w:rPr>
        <w:t xml:space="preserve">Not causing </w:t>
      </w:r>
      <w:r w:rsidRPr="00FA6C0D">
        <w:rPr>
          <w:rFonts w:eastAsia="SimSun"/>
          <w:color w:val="000000"/>
        </w:rPr>
        <w:t>harmful</w:t>
      </w:r>
      <w:r w:rsidRPr="00FA6C0D">
        <w:rPr>
          <w:rFonts w:eastAsia="SimSun"/>
          <w:color w:val="000000" w:themeColor="text1"/>
        </w:rPr>
        <w:t xml:space="preserve"> interference Nor claiming protection</w:t>
      </w:r>
      <w:r w:rsidRPr="00FA6C0D">
        <w:rPr>
          <w:color w:val="000000" w:themeColor="text1"/>
        </w:rPr>
        <w:t>”.</w:t>
      </w:r>
      <w:r w:rsidRPr="00FA6C0D">
        <w:rPr>
          <w:rFonts w:eastAsia="SimSun"/>
          <w:color w:val="000000" w:themeColor="text1"/>
        </w:rPr>
        <w:t xml:space="preserve"> Now the question is how such </w:t>
      </w:r>
      <w:r w:rsidRPr="00FA6C0D">
        <w:rPr>
          <w:rFonts w:eastAsia="SimSun"/>
          <w:color w:val="000000"/>
        </w:rPr>
        <w:t xml:space="preserve">a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could be established for an earth station, which is in motion at different altitudes and at different directions in which the amount of </w:t>
      </w:r>
      <w:r w:rsidRPr="00FA6C0D">
        <w:rPr>
          <w:rFonts w:eastAsia="SimSun"/>
          <w:color w:val="000000"/>
        </w:rPr>
        <w:t>received</w:t>
      </w:r>
      <w:r w:rsidRPr="00FA6C0D">
        <w:rPr>
          <w:rFonts w:eastAsia="SimSun"/>
          <w:color w:val="000000" w:themeColor="text1"/>
        </w:rPr>
        <w:t xml:space="preserve"> signal </w:t>
      </w:r>
      <w:r w:rsidRPr="00FA6C0D">
        <w:rPr>
          <w:rFonts w:eastAsia="SimSun"/>
          <w:color w:val="000000"/>
        </w:rPr>
        <w:t xml:space="preserve">on the surface of the Earth </w:t>
      </w:r>
      <w:r w:rsidRPr="00FA6C0D">
        <w:rPr>
          <w:rFonts w:eastAsia="SimSun"/>
          <w:color w:val="000000" w:themeColor="text1"/>
        </w:rPr>
        <w:t xml:space="preserve">is always varying. Consequently, such </w:t>
      </w:r>
      <w:r w:rsidRPr="00FA6C0D">
        <w:rPr>
          <w:rFonts w:eastAsia="SimSun"/>
          <w:color w:val="000000"/>
        </w:rPr>
        <w:t xml:space="preserve">a </w:t>
      </w:r>
      <w:r w:rsidRPr="00FA6C0D">
        <w:rPr>
          <w:rFonts w:eastAsia="SimSun"/>
          <w:color w:val="000000" w:themeColor="text1"/>
        </w:rPr>
        <w:t>course of action may be used as guidance, to the extent technically possible</w:t>
      </w:r>
      <w:r w:rsidRPr="00FA6C0D">
        <w:rPr>
          <w:rFonts w:eastAsia="SimSun"/>
          <w:color w:val="000000"/>
        </w:rPr>
        <w:t>,</w:t>
      </w:r>
      <w:r w:rsidRPr="00FA6C0D">
        <w:rPr>
          <w:rFonts w:eastAsia="SimSun"/>
          <w:color w:val="000000" w:themeColor="text1"/>
        </w:rPr>
        <w:t xml:space="preserve"> </w:t>
      </w:r>
      <w:r w:rsidRPr="00FA6C0D">
        <w:rPr>
          <w:rFonts w:eastAsia="SimSun"/>
          <w:color w:val="000000"/>
        </w:rPr>
        <w:t xml:space="preserve">for </w:t>
      </w:r>
      <w:r w:rsidRPr="00FA6C0D">
        <w:rPr>
          <w:rFonts w:eastAsia="SimSun"/>
          <w:color w:val="000000" w:themeColor="text1"/>
        </w:rPr>
        <w:t xml:space="preserve">the estimation of the power produced on the surface of the </w:t>
      </w:r>
      <w:r w:rsidRPr="00FA6C0D">
        <w:rPr>
          <w:rFonts w:eastAsia="SimSun"/>
          <w:color w:val="000000"/>
        </w:rPr>
        <w:t>Earth</w:t>
      </w:r>
      <w:r w:rsidRPr="00FA6C0D">
        <w:rPr>
          <w:rFonts w:eastAsia="SimSun"/>
          <w:color w:val="000000" w:themeColor="text1"/>
        </w:rPr>
        <w:t xml:space="preserve"> but it would </w:t>
      </w:r>
      <w:r w:rsidRPr="00FA6C0D">
        <w:rPr>
          <w:rFonts w:eastAsia="SimSun"/>
          <w:color w:val="000000"/>
        </w:rPr>
        <w:t xml:space="preserve">be </w:t>
      </w:r>
      <w:r w:rsidRPr="00FA6C0D">
        <w:rPr>
          <w:rFonts w:eastAsia="SimSun"/>
          <w:color w:val="000000" w:themeColor="text1"/>
        </w:rPr>
        <w:t>in fact uncertain on the exact amount of p</w:t>
      </w:r>
      <w:r w:rsidRPr="00FA6C0D">
        <w:rPr>
          <w:rFonts w:eastAsia="SimSun"/>
          <w:color w:val="000000"/>
        </w:rPr>
        <w:t>fd</w:t>
      </w:r>
      <w:r w:rsidRPr="00FA6C0D">
        <w:rPr>
          <w:rFonts w:eastAsia="SimSun"/>
          <w:color w:val="000000" w:themeColor="text1"/>
        </w:rPr>
        <w:t xml:space="preserve"> produced at any moment and under all circumstances.</w:t>
      </w:r>
      <w:r w:rsidRPr="00FA6C0D">
        <w:rPr>
          <w:rFonts w:eastAsia="SimSun"/>
          <w:color w:val="000000"/>
          <w:lang w:eastAsia="zh-CN"/>
        </w:rPr>
        <w:t xml:space="preserve"> </w:t>
      </w:r>
      <w:r w:rsidRPr="00FA6C0D">
        <w:rPr>
          <w:rFonts w:eastAsia="SimSun"/>
          <w:color w:val="000000" w:themeColor="text1"/>
        </w:rPr>
        <w:t>However, such type of guidance to estimate p</w:t>
      </w:r>
      <w:r w:rsidRPr="00FA6C0D">
        <w:rPr>
          <w:rFonts w:eastAsia="SimSun"/>
          <w:color w:val="000000"/>
        </w:rPr>
        <w:t>fd</w:t>
      </w:r>
      <w:r w:rsidRPr="00FA6C0D">
        <w:rPr>
          <w:rFonts w:eastAsia="SimSun"/>
          <w:color w:val="000000" w:themeColor="text1"/>
        </w:rPr>
        <w:t xml:space="preserve"> establishment merely protects the service </w:t>
      </w:r>
      <w:r w:rsidRPr="00FA6C0D">
        <w:rPr>
          <w:rFonts w:eastAsia="SimSun"/>
          <w:color w:val="000000"/>
        </w:rPr>
        <w:t xml:space="preserve">with typical technical and operational characteristics </w:t>
      </w:r>
      <w:r w:rsidRPr="00FA6C0D">
        <w:rPr>
          <w:rFonts w:eastAsia="SimSun"/>
          <w:color w:val="000000" w:themeColor="text1"/>
        </w:rPr>
        <w:t xml:space="preserve">and NOT the assignments relating to the terrestrial station for which there is another coordination procedure in Article </w:t>
      </w:r>
      <w:r w:rsidRPr="00FA6C0D">
        <w:rPr>
          <w:rFonts w:eastAsia="SimSun"/>
          <w:b/>
          <w:color w:val="000000" w:themeColor="text1"/>
        </w:rPr>
        <w:t>9</w:t>
      </w:r>
      <w:r w:rsidRPr="00FA6C0D">
        <w:rPr>
          <w:rFonts w:eastAsia="SimSun"/>
          <w:color w:val="000000" w:themeColor="text1"/>
        </w:rPr>
        <w:t xml:space="preserve"> of the Radio Regulations namely RR No. </w:t>
      </w:r>
      <w:r w:rsidRPr="00FA6C0D">
        <w:rPr>
          <w:rFonts w:eastAsia="SimSun"/>
          <w:b/>
          <w:color w:val="000000" w:themeColor="text1"/>
        </w:rPr>
        <w:t>9.17</w:t>
      </w:r>
      <w:r w:rsidRPr="00FA6C0D">
        <w:rPr>
          <w:rFonts w:eastAsia="SimSun"/>
          <w:color w:val="000000" w:themeColor="text1"/>
        </w:rPr>
        <w:t xml:space="preserve"> and RR No. </w:t>
      </w:r>
      <w:r w:rsidRPr="00FA6C0D">
        <w:rPr>
          <w:rFonts w:eastAsia="SimSun"/>
          <w:b/>
          <w:color w:val="000000" w:themeColor="text1"/>
        </w:rPr>
        <w:t>9.18</w:t>
      </w:r>
      <w:r w:rsidRPr="00FA6C0D">
        <w:rPr>
          <w:rFonts w:eastAsia="SimSun"/>
          <w:color w:val="000000" w:themeColor="text1"/>
        </w:rPr>
        <w:t>. Since the aircraft earth station is always in motion when transmitting and receiving no coordination procedure currently address</w:t>
      </w:r>
      <w:r w:rsidRPr="00FA6C0D">
        <w:rPr>
          <w:rFonts w:eastAsia="SimSun"/>
          <w:color w:val="000000"/>
        </w:rPr>
        <w:t>es</w:t>
      </w:r>
      <w:r w:rsidRPr="00FA6C0D">
        <w:rPr>
          <w:rFonts w:eastAsia="SimSun"/>
          <w:color w:val="000000" w:themeColor="text1"/>
        </w:rPr>
        <w:t xml:space="preserve"> that situation.</w:t>
      </w:r>
    </w:p>
    <w:p w14:paraId="404444BE" w14:textId="49AC40D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This </w:t>
      </w:r>
      <w:r w:rsidRPr="00FA6C0D">
        <w:rPr>
          <w:rFonts w:eastAsia="SimSun"/>
          <w:color w:val="000000"/>
          <w:lang w:eastAsia="zh-CN"/>
        </w:rPr>
        <w:t>issue</w:t>
      </w:r>
      <w:r w:rsidRPr="00FA6C0D">
        <w:rPr>
          <w:rFonts w:eastAsia="SimSun"/>
          <w:color w:val="000000" w:themeColor="text1"/>
        </w:rPr>
        <w:t xml:space="preserve"> was also reflected in Resolution </w:t>
      </w:r>
      <w:r w:rsidRPr="00FA6C0D">
        <w:rPr>
          <w:rFonts w:eastAsia="SimSun"/>
          <w:b/>
          <w:color w:val="000000" w:themeColor="text1"/>
        </w:rPr>
        <w:t>156 (</w:t>
      </w:r>
      <w:del w:id="22" w:author="Author">
        <w:r w:rsidRPr="00FA6C0D" w:rsidDel="00816499">
          <w:rPr>
            <w:rFonts w:eastAsia="SimSun"/>
            <w:b/>
            <w:color w:val="000000" w:themeColor="text1"/>
          </w:rPr>
          <w:delText>WRC-15</w:delText>
        </w:r>
      </w:del>
      <w:ins w:id="23"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dealing with Earth </w:t>
      </w:r>
      <w:r w:rsidRPr="00FA6C0D">
        <w:rPr>
          <w:rFonts w:eastAsia="SimSun"/>
          <w:color w:val="000000"/>
        </w:rPr>
        <w:t>S</w:t>
      </w:r>
      <w:r w:rsidRPr="00FA6C0D">
        <w:rPr>
          <w:rFonts w:eastAsia="SimSun"/>
          <w:color w:val="000000" w:themeColor="text1"/>
        </w:rPr>
        <w:t xml:space="preserve">tation </w:t>
      </w:r>
      <w:r w:rsidRPr="00FA6C0D">
        <w:rPr>
          <w:rFonts w:eastAsia="SimSun"/>
          <w:color w:val="000000"/>
        </w:rPr>
        <w:t>O</w:t>
      </w:r>
      <w:r w:rsidRPr="00FA6C0D">
        <w:rPr>
          <w:rFonts w:eastAsia="SimSun"/>
          <w:color w:val="000000" w:themeColor="text1"/>
        </w:rPr>
        <w:t xml:space="preserve">n </w:t>
      </w:r>
      <w:r w:rsidRPr="00FA6C0D">
        <w:rPr>
          <w:rFonts w:eastAsia="SimSun"/>
          <w:color w:val="000000"/>
        </w:rPr>
        <w:t>M</w:t>
      </w:r>
      <w:r w:rsidRPr="00FA6C0D">
        <w:rPr>
          <w:rFonts w:eastAsia="SimSun"/>
          <w:color w:val="000000" w:themeColor="text1"/>
        </w:rPr>
        <w:t xml:space="preserve">obile </w:t>
      </w:r>
      <w:r w:rsidRPr="00FA6C0D">
        <w:rPr>
          <w:rFonts w:eastAsia="SimSun"/>
          <w:color w:val="000000"/>
        </w:rPr>
        <w:t>P</w:t>
      </w:r>
      <w:r w:rsidRPr="00FA6C0D">
        <w:rPr>
          <w:rFonts w:eastAsia="SimSun"/>
          <w:color w:val="000000" w:themeColor="text1"/>
        </w:rPr>
        <w:t>latform</w:t>
      </w:r>
      <w:r w:rsidRPr="00FA6C0D">
        <w:rPr>
          <w:rFonts w:eastAsia="SimSun"/>
          <w:color w:val="000000"/>
        </w:rPr>
        <w:t>s</w:t>
      </w:r>
      <w:r w:rsidRPr="00FA6C0D">
        <w:rPr>
          <w:rFonts w:eastAsia="SimSun"/>
          <w:color w:val="000000" w:themeColor="text1"/>
        </w:rPr>
        <w:t xml:space="preserve"> (ESOMP).</w:t>
      </w:r>
      <w:r w:rsidRPr="00FA6C0D">
        <w:rPr>
          <w:rFonts w:eastAsia="SimSun"/>
          <w:color w:val="000000"/>
          <w:lang w:eastAsia="zh-CN"/>
        </w:rPr>
        <w:t xml:space="preserve"> T</w:t>
      </w:r>
      <w:r w:rsidRPr="00FA6C0D">
        <w:rPr>
          <w:rFonts w:eastAsia="SimSun"/>
          <w:color w:val="000000" w:themeColor="text1"/>
        </w:rPr>
        <w:t xml:space="preserve">he </w:t>
      </w:r>
      <w:r w:rsidRPr="00FA6C0D">
        <w:rPr>
          <w:rFonts w:eastAsia="SimSun"/>
          <w:color w:val="000000"/>
        </w:rPr>
        <w:t xml:space="preserve">proposed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approach may protect to some extent and with some uncertainty in an approximate manner the” terrestrial service area”. However, </w:t>
      </w:r>
      <w:r w:rsidRPr="00FA6C0D">
        <w:rPr>
          <w:rFonts w:eastAsia="SimSun"/>
          <w:color w:val="000000"/>
        </w:rPr>
        <w:t xml:space="preserve">whether </w:t>
      </w:r>
      <w:r w:rsidRPr="00FA6C0D">
        <w:rPr>
          <w:rFonts w:eastAsia="SimSun"/>
          <w:color w:val="000000" w:themeColor="text1"/>
        </w:rPr>
        <w:t>such</w:t>
      </w:r>
      <w:r w:rsidRPr="00FA6C0D">
        <w:rPr>
          <w:rFonts w:eastAsia="SimSun"/>
          <w:color w:val="000000"/>
        </w:rPr>
        <w:t xml:space="preserve"> a</w:t>
      </w:r>
      <w:r w:rsidRPr="00FA6C0D">
        <w:rPr>
          <w:rFonts w:eastAsia="SimSun"/>
          <w:color w:val="000000" w:themeColor="text1"/>
        </w:rPr>
        <w:t xml:space="preserve"> course of action </w:t>
      </w:r>
      <w:r w:rsidRPr="00FA6C0D">
        <w:rPr>
          <w:rFonts w:eastAsia="SimSun"/>
          <w:color w:val="000000"/>
        </w:rPr>
        <w:t xml:space="preserve">will sufficiently </w:t>
      </w:r>
      <w:r w:rsidRPr="00FA6C0D">
        <w:rPr>
          <w:rFonts w:eastAsia="SimSun"/>
          <w:color w:val="000000" w:themeColor="text1"/>
        </w:rPr>
        <w:t>protect the assignments pertaining to terrestrial stations of other administrations</w:t>
      </w:r>
      <w:r w:rsidRPr="00FA6C0D">
        <w:rPr>
          <w:rFonts w:eastAsia="SimSun"/>
          <w:color w:val="000000"/>
        </w:rPr>
        <w:t xml:space="preserve"> has to be determined</w:t>
      </w:r>
      <w:r w:rsidRPr="00FA6C0D">
        <w:rPr>
          <w:rFonts w:eastAsia="SimSun"/>
          <w:color w:val="000000" w:themeColor="text1"/>
        </w:rPr>
        <w:t>.</w:t>
      </w:r>
    </w:p>
    <w:p w14:paraId="160E0B70"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 xml:space="preserve">Moreover, the applicability of the pfd for the protection of the terrestrial service (and not the protection of the assignment) needs to be carefully examined to verify its validity for such </w:t>
      </w:r>
      <w:r w:rsidRPr="00FA6C0D">
        <w:rPr>
          <w:spacing w:val="-2"/>
        </w:rPr>
        <w:lastRenderedPageBreak/>
        <w:t>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FA6C0D">
        <w:rPr>
          <w:color w:val="FF0000"/>
          <w:spacing w:val="-2"/>
        </w:rPr>
        <w:t xml:space="preserve"> </w:t>
      </w:r>
      <w:r w:rsidRPr="00FA6C0D">
        <w:rPr>
          <w:spacing w:val="-2"/>
        </w:rPr>
        <w: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t>
      </w:r>
    </w:p>
    <w:p w14:paraId="33D97612"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rFonts w:eastAsia="SimSun"/>
          <w:color w:val="000000"/>
          <w:lang w:eastAsia="zh-CN"/>
        </w:rPr>
        <w:t>The following arguments provide explanation on the relevancy of pfd for station aboard aircraft in order to protect terrestrial services</w:t>
      </w:r>
      <w:r w:rsidRPr="00FA6C0D">
        <w:rPr>
          <w:lang w:eastAsia="zh-CN"/>
        </w:rPr>
        <w:t>:</w:t>
      </w:r>
    </w:p>
    <w:p w14:paraId="389354B9" w14:textId="7040467A"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ab/>
        <w:t xml:space="preserve">In reviewing Resolution </w:t>
      </w:r>
      <w:r w:rsidRPr="00FA6C0D">
        <w:rPr>
          <w:b/>
        </w:rPr>
        <w:t>155 (</w:t>
      </w:r>
      <w:del w:id="24" w:author="Author">
        <w:r w:rsidRPr="00FA6C0D" w:rsidDel="00816499">
          <w:rPr>
            <w:b/>
          </w:rPr>
          <w:delText>WRC-15</w:delText>
        </w:r>
      </w:del>
      <w:ins w:id="25" w:author="Author">
        <w:r w:rsidR="00816499">
          <w:rPr>
            <w:b/>
          </w:rPr>
          <w:t>R</w:t>
        </w:r>
        <w:r w:rsidR="009B0D57">
          <w:rPr>
            <w:b/>
          </w:rPr>
          <w:t>ev</w:t>
        </w:r>
        <w:r w:rsidR="00816499">
          <w:rPr>
            <w:b/>
          </w:rPr>
          <w:t>.WRC-19</w:t>
        </w:r>
      </w:ins>
      <w:r w:rsidRPr="00FA6C0D">
        <w:rPr>
          <w:b/>
        </w:rPr>
        <w:t xml:space="preserve">) </w:t>
      </w:r>
      <w:r w:rsidRPr="00FA6C0D">
        <w:t xml:space="preserve">Working Party 5B notes that the pfd approach contained in Article </w:t>
      </w:r>
      <w:r w:rsidRPr="00FA6C0D">
        <w:rPr>
          <w:b/>
        </w:rPr>
        <w:t>21</w:t>
      </w:r>
      <w:r w:rsidRPr="00FA6C0D">
        <w:t xml:space="preserve"> of the Radio Regulations is used for the protection of terrestrial services where coordination between earth station and terrestrial station assignments is governed by Article </w:t>
      </w:r>
      <w:r w:rsidRPr="00FA6C0D">
        <w:rPr>
          <w:b/>
        </w:rPr>
        <w:t>9</w:t>
      </w:r>
      <w:r w:rsidRPr="00FA6C0D">
        <w:t xml:space="preserve"> of the Radio Regulations namely RR No. </w:t>
      </w:r>
      <w:r w:rsidRPr="00FA6C0D">
        <w:rPr>
          <w:b/>
        </w:rPr>
        <w:t>9.17</w:t>
      </w:r>
      <w:r w:rsidRPr="00FA6C0D">
        <w:t xml:space="preserve"> and RR No.</w:t>
      </w:r>
      <w:r w:rsidRPr="00FA6C0D">
        <w:rPr>
          <w:b/>
        </w:rPr>
        <w:t xml:space="preserve"> 9.18</w:t>
      </w:r>
      <w:r w:rsidRPr="00FA6C0D">
        <w:t>.</w:t>
      </w:r>
    </w:p>
    <w:p w14:paraId="0726224A"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Coordination for earth stations is governed by the procedures called by RR No. </w:t>
      </w:r>
      <w:r w:rsidRPr="00FA6C0D">
        <w:rPr>
          <w:b/>
          <w:lang w:eastAsia="zh-CN"/>
        </w:rPr>
        <w:t>9.6</w:t>
      </w:r>
      <w:r w:rsidRPr="00FA6C0D">
        <w:rPr>
          <w:lang w:eastAsia="zh-CN"/>
        </w:rPr>
        <w:t xml:space="preserve">. Under this provision RR No. </w:t>
      </w:r>
      <w:r w:rsidRPr="00FA6C0D">
        <w:rPr>
          <w:b/>
          <w:lang w:eastAsia="zh-CN"/>
        </w:rPr>
        <w:t>9.17</w:t>
      </w:r>
      <w:r w:rsidRPr="00FA6C0D">
        <w:rPr>
          <w:lang w:eastAsia="zh-CN"/>
        </w:rPr>
        <w:t xml:space="preserve"> describes the case of earth station coordination which requires coordination with administration inside the coordination area of the earth station. </w:t>
      </w:r>
    </w:p>
    <w:p w14:paraId="5CFE25A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determination of the coordination area is described in RR Appendix </w:t>
      </w:r>
      <w:r w:rsidRPr="00FA6C0D">
        <w:rPr>
          <w:b/>
          <w:lang w:eastAsia="zh-CN"/>
        </w:rPr>
        <w:t>7</w:t>
      </w:r>
      <w:r w:rsidRPr="00FA6C0D">
        <w:rPr>
          <w:lang w:eastAsia="zh-CN"/>
        </w:rPr>
        <w:t xml:space="preserve">. In accordance with section 1.4.7 of RR Appendix </w:t>
      </w:r>
      <w:r w:rsidRPr="00FA6C0D">
        <w:rPr>
          <w:b/>
          <w:bCs/>
          <w:lang w:eastAsia="zh-CN"/>
        </w:rPr>
        <w:t>7</w:t>
      </w:r>
      <w:r w:rsidRPr="00FA6C0D">
        <w:rPr>
          <w:lang w:eastAsia="zh-CN"/>
        </w:rPr>
        <w: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 by case coordination is not possible.</w:t>
      </w:r>
    </w:p>
    <w:p w14:paraId="1CF68CE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t>
      </w:r>
    </w:p>
    <w:p w14:paraId="39880D40"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appropriateness of the pfd masks is dependent on the representability of the victim parameters taken into account in the study. </w:t>
      </w:r>
    </w:p>
    <w:p w14:paraId="337124D8"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For example in the case of 14.25-14.47 GHz, the Fixed service parameters were worst case parameters for configurations in Europe that are more stringent that in Recommendation </w:t>
      </w:r>
      <w:hyperlink r:id="rId13" w:history="1">
        <w:r w:rsidRPr="00FA6C0D">
          <w:rPr>
            <w:lang w:eastAsia="zh-CN"/>
          </w:rPr>
          <w:t>ITU-R F.758</w:t>
        </w:r>
      </w:hyperlink>
      <w:r w:rsidRPr="00FA6C0D">
        <w:rPr>
          <w:lang w:eastAsia="zh-CN"/>
        </w:rPr>
        <w:t>. In such a situation, all Fixed service stations would be protected apart from those with exceptional characteristics.</w:t>
      </w:r>
    </w:p>
    <w:p w14:paraId="169F4F15"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lastRenderedPageBreak/>
        <w:t>Summary of the Study</w:t>
      </w:r>
    </w:p>
    <w:p w14:paraId="78A99F95" w14:textId="6A4D44AF"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In accordance with </w:t>
      </w:r>
      <w:r w:rsidRPr="00FA6C0D">
        <w:rPr>
          <w:i/>
          <w:lang w:eastAsia="zh-CN"/>
        </w:rPr>
        <w:t>resolves</w:t>
      </w:r>
      <w:r w:rsidRPr="00FA6C0D">
        <w:rPr>
          <w:lang w:eastAsia="zh-CN"/>
        </w:rPr>
        <w:t xml:space="preserve"> 16 of Resolution </w:t>
      </w:r>
      <w:r w:rsidRPr="00FA6C0D">
        <w:rPr>
          <w:b/>
          <w:lang w:eastAsia="zh-CN"/>
        </w:rPr>
        <w:t>155 (</w:t>
      </w:r>
      <w:del w:id="26" w:author="Author">
        <w:r w:rsidRPr="00FA6C0D" w:rsidDel="00816499">
          <w:rPr>
            <w:b/>
            <w:lang w:eastAsia="zh-CN"/>
          </w:rPr>
          <w:delText>WRC-15</w:delText>
        </w:r>
      </w:del>
      <w:ins w:id="27"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this study reviewed the pfd limits in Annex 2 of Resolution </w:t>
      </w:r>
      <w:r w:rsidRPr="00FA6C0D">
        <w:rPr>
          <w:b/>
          <w:lang w:eastAsia="zh-CN"/>
        </w:rPr>
        <w:t>155 (</w:t>
      </w:r>
      <w:del w:id="28" w:author="Author">
        <w:r w:rsidRPr="00FA6C0D" w:rsidDel="00816499">
          <w:rPr>
            <w:b/>
            <w:lang w:eastAsia="zh-CN"/>
          </w:rPr>
          <w:delText>WRC-15</w:delText>
        </w:r>
      </w:del>
      <w:ins w:id="29"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and concluded that they should be revised in accordance with the following:</w:t>
      </w:r>
      <w:bookmarkStart w:id="30" w:name="_Hlk515190997"/>
      <w:r w:rsidRPr="00FA6C0D">
        <w:rPr>
          <w:lang w:eastAsia="zh-CN"/>
        </w:rPr>
        <w:t xml:space="preserve"> </w:t>
      </w:r>
    </w:p>
    <w:p w14:paraId="2AAD8023" w14:textId="77777777" w:rsidR="00696A28"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ins w:id="31" w:author="Author"/>
        </w:rPr>
      </w:pPr>
      <w:r w:rsidRPr="00FA6C0D">
        <w:t>1</w:t>
      </w:r>
      <w:r w:rsidRPr="00FA6C0D">
        <w:tab/>
        <w:t xml:space="preserve">In the frequency range 14.25-14.47 GHz used by stations (FIXED SDERTRVICE), within line-of-sight of the territory of an administration not subject to RR No. </w:t>
      </w:r>
      <w:r w:rsidRPr="00FA6C0D">
        <w:rPr>
          <w:b/>
          <w:bCs/>
        </w:rPr>
        <w:t>5.505</w:t>
      </w:r>
      <w:r w:rsidRPr="00FA6C0D">
        <w:t xml:space="preserve"> </w:t>
      </w:r>
    </w:p>
    <w:p w14:paraId="377D4E19" w14:textId="385C09F0"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2" w:author="Author"/>
        </w:rPr>
      </w:pPr>
      <w:ins w:id="33" w:author="Author">
        <w:r>
          <w:t xml:space="preserve">In the </w:t>
        </w:r>
        <w:r w:rsidR="002148CA">
          <w:t>frequency</w:t>
        </w:r>
        <w:r>
          <w:t xml:space="preserve"> band 14.25-14.3 GH</w:t>
        </w:r>
        <w:r w:rsidR="00E8563A">
          <w:t>z</w:t>
        </w:r>
        <w:r>
          <w:t xml:space="preserve"> on the territory of countries listed in N</w:t>
        </w:r>
        <w:r w:rsidR="002148CA">
          <w:t>o</w:t>
        </w:r>
        <w:r>
          <w:t xml:space="preserve"> 5.508</w:t>
        </w:r>
      </w:ins>
    </w:p>
    <w:p w14:paraId="3EA638CE" w14:textId="5B4EBCEE"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4" w:author="Author"/>
        </w:rPr>
      </w:pPr>
      <w:ins w:id="35" w:author="Author">
        <w:r>
          <w:t xml:space="preserve">In the </w:t>
        </w:r>
        <w:r w:rsidR="002148CA">
          <w:t>frequency</w:t>
        </w:r>
        <w:r>
          <w:t xml:space="preserve"> band 14.3-14.4 GHz in </w:t>
        </w:r>
        <w:r w:rsidR="002148CA">
          <w:t>Regions</w:t>
        </w:r>
        <w:r>
          <w:t xml:space="preserve"> 1 and 3</w:t>
        </w:r>
      </w:ins>
    </w:p>
    <w:p w14:paraId="09A08B15" w14:textId="60B23F42"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6" w:author="Author"/>
        </w:rPr>
      </w:pPr>
      <w:ins w:id="37" w:author="Author">
        <w:r>
          <w:t xml:space="preserve">In the </w:t>
        </w:r>
        <w:r w:rsidR="002148CA">
          <w:t>frequency</w:t>
        </w:r>
        <w:r>
          <w:t xml:space="preserve"> band 14.4-14.</w:t>
        </w:r>
        <w:r w:rsidR="002148CA">
          <w:t>47 GHz worldwide</w:t>
        </w:r>
      </w:ins>
    </w:p>
    <w:p w14:paraId="1E5C17DC" w14:textId="5D1987D8" w:rsidR="00FA6C0D" w:rsidRPr="00FA6C0D" w:rsidRDefault="00FA6C0D" w:rsidP="0094539E">
      <w:pPr>
        <w:tabs>
          <w:tab w:val="clear" w:pos="794"/>
          <w:tab w:val="clear" w:pos="1191"/>
          <w:tab w:val="clear" w:pos="1588"/>
          <w:tab w:val="clear" w:pos="1985"/>
          <w:tab w:val="left" w:pos="1134"/>
          <w:tab w:val="left" w:pos="1871"/>
          <w:tab w:val="left" w:pos="2608"/>
          <w:tab w:val="left" w:pos="3345"/>
        </w:tabs>
        <w:spacing w:before="80"/>
        <w:ind w:left="1134" w:firstLine="36"/>
      </w:pPr>
      <w:r w:rsidRPr="00FA6C0D">
        <w:t>where services are operating in this range, the maximum pfd produced at the surface of the Earth by emissions from a single earth station on board a UA communicating with a space station of the fixed-satellite service should not exceed:</w:t>
      </w:r>
    </w:p>
    <w:p w14:paraId="4E0C08CB" w14:textId="77777777" w:rsidR="00FA6C0D" w:rsidRPr="00FA6C0D" w:rsidRDefault="00FA6C0D" w:rsidP="00FA6C0D">
      <w:pPr>
        <w:tabs>
          <w:tab w:val="clear" w:pos="794"/>
          <w:tab w:val="clear" w:pos="1191"/>
          <w:tab w:val="clear" w:pos="1588"/>
          <w:tab w:val="clear" w:pos="1985"/>
          <w:tab w:val="left" w:pos="1843"/>
          <w:tab w:val="center" w:pos="4820"/>
          <w:tab w:val="right" w:pos="9639"/>
        </w:tabs>
        <w:rPr>
          <w:rFonts w:eastAsia="SimSun"/>
        </w:rPr>
      </w:pPr>
      <w:r w:rsidRPr="00FA6C0D">
        <w:rPr>
          <w:snapToGrid w:val="0"/>
        </w:rPr>
        <w:tab/>
      </w:r>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-133.5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r w:rsidRPr="00FA6C0D">
        <w:rPr>
          <w:rFonts w:eastAsia="SimSun"/>
        </w:rPr>
        <w:t xml:space="preserve">for 0° </w:t>
      </w:r>
      <w:r w:rsidRPr="00FA6C0D">
        <w:rPr>
          <w:rFonts w:eastAsia="SimSun" w:cs="Calibri"/>
        </w:rPr>
        <w:t xml:space="preserve">≤ </w:t>
      </w:r>
      <m:oMath>
        <m:r>
          <m:rPr>
            <m:sty m:val="p"/>
          </m:rPr>
          <w:rPr>
            <w:rFonts w:ascii="Cambria Math" w:eastAsia="SimSun" w:hAnsi="Cambria Math" w:cs="Calibri"/>
          </w:rPr>
          <m:t>θ</m:t>
        </m:r>
      </m:oMath>
      <w:r w:rsidRPr="00FA6C0D">
        <w:rPr>
          <w:rFonts w:eastAsia="SimSun"/>
        </w:rPr>
        <w:t xml:space="preserve"> </w:t>
      </w:r>
      <w:r w:rsidRPr="00FA6C0D">
        <w:rPr>
          <w:rFonts w:eastAsia="SimSun" w:cs="Calibri"/>
        </w:rPr>
        <w:t xml:space="preserve">≤ </w:t>
      </w:r>
      <w:r w:rsidRPr="00FA6C0D">
        <w:rPr>
          <w:rFonts w:eastAsia="SimSun"/>
        </w:rPr>
        <w:t>90°</w:t>
      </w:r>
    </w:p>
    <w:p w14:paraId="3EBA4497"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t xml:space="preserve">where </w:t>
      </w:r>
      <w:r w:rsidRPr="00FA6C0D">
        <w:rPr>
          <w:rFonts w:ascii="Cambria Math" w:eastAsia="SimSun" w:hAnsi="Cambria Math" w:cs="Calibri"/>
        </w:rPr>
        <w:sym w:font="Symbol" w:char="F071"/>
      </w:r>
      <w:r w:rsidRPr="00FA6C0D">
        <w:rPr>
          <w:snapToGrid w:val="0"/>
        </w:rPr>
        <w:t xml:space="preserve"> </w:t>
      </w:r>
      <w:r w:rsidRPr="00FA6C0D">
        <w:t xml:space="preserve">is the angle of arrival of the radio wave at the Earth’s surface. </w:t>
      </w:r>
    </w:p>
    <w:p w14:paraId="0AE61D77"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2</w:t>
      </w:r>
      <w:r w:rsidRPr="00FA6C0D">
        <w:tab/>
        <w:t xml:space="preserve">In the frequency band 14-14.3 GHz used by terrestrial stations, inside and at the border of the territory of an administration where terrestrial services are operating in this band according to RR No. </w:t>
      </w:r>
      <w:r w:rsidRPr="00FA6C0D">
        <w:rPr>
          <w:b/>
          <w:bCs/>
        </w:rPr>
        <w:t>5.505</w:t>
      </w:r>
      <w:r w:rsidRPr="00FA6C0D">
        <w:t>, the maximum pfd produced at the surface of the Earth by emissions from a single earth station on board a UA communicating with a space station of the fixed-satellite service should not exceed:</w:t>
      </w:r>
    </w:p>
    <w:p w14:paraId="39051215" w14:textId="77777777" w:rsidR="00FA6C0D" w:rsidRPr="00FA6C0D" w:rsidRDefault="00FA6C0D" w:rsidP="00FA6C0D">
      <w:pPr>
        <w:tabs>
          <w:tab w:val="clear" w:pos="794"/>
          <w:tab w:val="clear" w:pos="1191"/>
          <w:tab w:val="clear" w:pos="1588"/>
          <w:tab w:val="clear" w:pos="1985"/>
          <w:tab w:val="left" w:pos="1871"/>
          <w:tab w:val="left" w:pos="2608"/>
          <w:tab w:val="left" w:pos="3345"/>
        </w:tabs>
        <w:spacing w:before="80"/>
        <w:ind w:left="1843" w:hanging="1134"/>
        <w:rPr>
          <w:rFonts w:eastAsiaTheme="minorEastAsia"/>
        </w:rPr>
      </w:pPr>
      <w:r w:rsidRPr="00FA6C0D">
        <w:tab/>
      </w:r>
      <w:bookmarkStart w:id="38" w:name="_Hlk526149573"/>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-124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r w:rsidRPr="00FA6C0D">
        <w:rPr>
          <w:rFonts w:eastAsia="SimSun"/>
        </w:rPr>
        <w:t xml:space="preserve">for 0° </w:t>
      </w:r>
      <w:r w:rsidRPr="00FA6C0D">
        <w:rPr>
          <w:rFonts w:eastAsia="SimSun" w:cs="Calibri"/>
        </w:rPr>
        <w:t xml:space="preserve">≤ </w:t>
      </w:r>
      <m:oMath>
        <m:r>
          <m:rPr>
            <m:sty m:val="p"/>
          </m:rPr>
          <w:rPr>
            <w:rFonts w:ascii="Cambria Math" w:eastAsia="SimSun" w:hAnsi="Cambria Math" w:cs="Calibri"/>
          </w:rPr>
          <m:t>θ</m:t>
        </m:r>
      </m:oMath>
      <w:r w:rsidRPr="00FA6C0D" w:rsidDel="001B7056">
        <w:rPr>
          <w:rFonts w:eastAsia="SimSun"/>
        </w:rPr>
        <w:t xml:space="preserve"> </w:t>
      </w:r>
      <w:r w:rsidRPr="00FA6C0D">
        <w:rPr>
          <w:rFonts w:eastAsia="SimSun" w:cs="Calibri"/>
        </w:rPr>
        <w:t xml:space="preserve">≤ </w:t>
      </w:r>
      <w:r w:rsidRPr="00FA6C0D">
        <w:rPr>
          <w:rFonts w:eastAsia="SimSun"/>
        </w:rPr>
        <w:t>90°</w:t>
      </w:r>
    </w:p>
    <w:bookmarkEnd w:id="38"/>
    <w:p w14:paraId="12937DC8" w14:textId="77777777" w:rsidR="00FA6C0D" w:rsidRPr="00FA6C0D" w:rsidRDefault="00FA6C0D" w:rsidP="00FA6C0D">
      <w:pPr>
        <w:tabs>
          <w:tab w:val="clear" w:pos="794"/>
          <w:tab w:val="clear" w:pos="1191"/>
          <w:tab w:val="clear" w:pos="1588"/>
          <w:tab w:val="clear" w:pos="1985"/>
          <w:tab w:val="left" w:pos="1134"/>
          <w:tab w:val="left" w:pos="1871"/>
          <w:tab w:val="left" w:pos="2268"/>
        </w:tabs>
        <w:rPr>
          <w:snapToGrid w:val="0"/>
        </w:rPr>
      </w:pPr>
      <w:r w:rsidRPr="00FA6C0D">
        <w:rPr>
          <w:snapToGrid w:val="0"/>
        </w:rPr>
        <w:tab/>
        <w:t xml:space="preserve">where </w:t>
      </w:r>
      <m:oMath>
        <m:r>
          <m:rPr>
            <m:sty m:val="p"/>
          </m:rPr>
          <w:rPr>
            <w:rFonts w:ascii="Cambria Math" w:eastAsia="SimSun" w:hAnsi="Cambria Math" w:cs="Calibri"/>
          </w:rPr>
          <m:t>θ</m:t>
        </m:r>
      </m:oMath>
      <w:r w:rsidRPr="00FA6C0D">
        <w:rPr>
          <w:snapToGrid w:val="0"/>
        </w:rPr>
        <w:t xml:space="preserve"> is the angle of arrival of the radio wave </w:t>
      </w:r>
      <w:r w:rsidRPr="00FA6C0D">
        <w:t>at the Earth’s surface</w:t>
      </w:r>
      <w:r w:rsidRPr="00FA6C0D">
        <w:rPr>
          <w:snapToGrid w:val="0"/>
        </w:rPr>
        <w:t>.</w:t>
      </w:r>
    </w:p>
    <w:p w14:paraId="3F4D2671" w14:textId="3150D640"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A comparison of these masks with that from </w:t>
      </w:r>
      <w:ins w:id="39" w:author="Author">
        <w:r w:rsidR="00AC7DD8">
          <w:rPr>
            <w:snapToGrid w:val="0"/>
          </w:rPr>
          <w:t xml:space="preserve">the “Example provided by WRC-15” in </w:t>
        </w:r>
      </w:ins>
      <w:r w:rsidRPr="00FA6C0D">
        <w:rPr>
          <w:snapToGrid w:val="0"/>
        </w:rPr>
        <w:t xml:space="preserve">Annex 2 of </w:t>
      </w:r>
      <w:r w:rsidRPr="00FA6C0D">
        <w:rPr>
          <w:lang w:eastAsia="zh-CN"/>
        </w:rPr>
        <w:t xml:space="preserve">Resolution </w:t>
      </w:r>
      <w:r w:rsidRPr="00FA6C0D">
        <w:rPr>
          <w:b/>
          <w:lang w:eastAsia="zh-CN"/>
        </w:rPr>
        <w:t>155 (</w:t>
      </w:r>
      <w:del w:id="40" w:author="Author">
        <w:r w:rsidRPr="00FA6C0D" w:rsidDel="00816499">
          <w:rPr>
            <w:b/>
            <w:lang w:eastAsia="zh-CN"/>
          </w:rPr>
          <w:delText>WRC-15</w:delText>
        </w:r>
      </w:del>
      <w:ins w:id="41"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w:t>
      </w:r>
      <w:r w:rsidRPr="00FA6C0D">
        <w:rPr>
          <w:snapToGrid w:val="0"/>
        </w:rPr>
        <w:t>is shown in Figure 1.</w:t>
      </w:r>
    </w:p>
    <w:p w14:paraId="0DC88D27"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The impact of multiple UAS/CNPC need to be taken into account.</w:t>
      </w:r>
    </w:p>
    <w:p w14:paraId="61DBCB50"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The process is merely took into account specific type of fixed service and also did not take into account any Mobile service. Moreover, such course of action does not cover the full range of fixed and mobile service </w:t>
      </w:r>
    </w:p>
    <w:p w14:paraId="481394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w:t>
      </w:r>
    </w:p>
    <w:p w14:paraId="322593B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Comparison of power flux density masks</w:t>
      </w:r>
    </w:p>
    <w:p w14:paraId="669FDC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98876CD" wp14:editId="03428B5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1DE91C3F"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12ED706F"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39FF1A1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8"/>
        </w:rPr>
      </w:pPr>
      <w:r w:rsidRPr="00FA6C0D">
        <w:rPr>
          <w:caps/>
          <w:sz w:val="28"/>
        </w:rPr>
        <w:lastRenderedPageBreak/>
        <w:t>Annex 1</w:t>
      </w:r>
    </w:p>
    <w:p w14:paraId="0A9958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z w:val="28"/>
          <w:lang w:eastAsia="zh-CN"/>
        </w:rPr>
      </w:pPr>
      <w:r w:rsidRPr="00FA6C0D">
        <w:rPr>
          <w:rFonts w:ascii="Times New Roman Bold" w:hAnsi="Times New Roman Bold"/>
          <w:b/>
          <w:sz w:val="28"/>
          <w:lang w:eastAsia="zh-CN"/>
        </w:rPr>
        <w:t>Methodology</w:t>
      </w:r>
    </w:p>
    <w:p w14:paraId="37D58C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ind w:left="1134" w:hanging="1134"/>
        <w:outlineLvl w:val="0"/>
        <w:rPr>
          <w:b/>
          <w:sz w:val="28"/>
        </w:rPr>
      </w:pPr>
      <w:r w:rsidRPr="00FA6C0D">
        <w:rPr>
          <w:b/>
          <w:sz w:val="28"/>
        </w:rPr>
        <w:t>1</w:t>
      </w:r>
      <w:r w:rsidRPr="00FA6C0D">
        <w:rPr>
          <w:b/>
          <w:sz w:val="28"/>
        </w:rPr>
        <w:tab/>
        <w:t>Principle</w:t>
      </w:r>
    </w:p>
    <w:p w14:paraId="1670678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methodology provides a verification of whether the protection criteria for a fixed service station are respected with non-stop co-channel line-of-sight operation during a period of one month of a single unmanned aircraft (UA).</w:t>
      </w:r>
    </w:p>
    <w:p w14:paraId="7141830E"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The UA flight path is defined randomly on great-circle trajectories at a constant altitude and speed.</w:t>
      </w:r>
    </w:p>
    <w:p w14:paraId="794DB36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lastRenderedPageBreak/>
        <w:t>2</w:t>
      </w:r>
      <w:r w:rsidRPr="00FA6C0D">
        <w:rPr>
          <w:b/>
          <w:sz w:val="28"/>
        </w:rPr>
        <w:tab/>
        <w:t>Process</w:t>
      </w:r>
    </w:p>
    <w:p w14:paraId="34E99333"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t>The figure below shows the stages of the methodology adopted.</w:t>
      </w:r>
    </w:p>
    <w:p w14:paraId="7FC0D8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z w:val="20"/>
        </w:rPr>
      </w:pPr>
      <w:r w:rsidRPr="00FA6C0D">
        <w:rPr>
          <w:caps/>
          <w:sz w:val="20"/>
        </w:rPr>
        <w:t>Figure 2</w:t>
      </w:r>
    </w:p>
    <w:p w14:paraId="2437EF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Process of the methodology</w:t>
      </w:r>
    </w:p>
    <w:p w14:paraId="10E510B5"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AE9300D" wp14:editId="4EE51E3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p>
    <w:p w14:paraId="3EBEA32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3</w:t>
      </w:r>
      <w:r w:rsidRPr="00FA6C0D">
        <w:rPr>
          <w:b/>
          <w:sz w:val="28"/>
        </w:rPr>
        <w:tab/>
        <w:t>Geometry</w:t>
      </w:r>
    </w:p>
    <w:p w14:paraId="3286003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a)</w:t>
      </w:r>
      <w:r w:rsidRPr="00FA6C0D">
        <w:rPr>
          <w:i/>
        </w:rPr>
        <w:tab/>
        <w:t>Principle</w:t>
      </w:r>
    </w:p>
    <w:p w14:paraId="59C3DB4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According to WGS84 definitions:</w:t>
      </w:r>
    </w:p>
    <w:p w14:paraId="49C1338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Semi-major axis:</w:t>
      </w:r>
      <w:r w:rsidRPr="00FA6C0D">
        <w:tab/>
      </w:r>
      <w:r w:rsidRPr="00FA6C0D">
        <w:tab/>
      </w:r>
      <w:r w:rsidRPr="00FA6C0D">
        <w:tab/>
      </w:r>
      <w:r w:rsidRPr="00FA6C0D">
        <w:tab/>
      </w:r>
      <w:r w:rsidRPr="00FA6C0D">
        <w:tab/>
        <w:t>a = 6 378 137 m</w:t>
      </w:r>
    </w:p>
    <w:p w14:paraId="13E3778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lastRenderedPageBreak/>
        <w:t>Flattening coefficient:</w:t>
      </w:r>
      <w:r w:rsidRPr="00FA6C0D">
        <w:tab/>
      </w:r>
      <w:r w:rsidRPr="00FA6C0D">
        <w:tab/>
      </w:r>
      <w:r w:rsidRPr="00FA6C0D">
        <w:tab/>
      </w:r>
      <w:r w:rsidRPr="00FA6C0D">
        <w:tab/>
        <w:t>F = 1/298.257223563</w:t>
      </w:r>
    </w:p>
    <w:p w14:paraId="186C23B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parameters are inferred:</w:t>
      </w:r>
    </w:p>
    <w:p w14:paraId="07A328D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Semi-minor axis:</w:t>
      </w:r>
      <w:r w:rsidRPr="00FA6C0D">
        <w:tab/>
      </w:r>
      <w:r w:rsidRPr="00FA6C0D">
        <w:tab/>
      </w:r>
      <w:r w:rsidRPr="00FA6C0D">
        <w:tab/>
      </w:r>
      <w:r w:rsidRPr="00FA6C0D">
        <w:tab/>
      </w:r>
      <w:r w:rsidRPr="00FA6C0D">
        <w:tab/>
        <w:t>b = a(1-F) = 6 356 752.3142 m</w:t>
      </w:r>
    </w:p>
    <w:p w14:paraId="19631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First eccentricity:</w:t>
      </w:r>
      <w:r w:rsidRPr="00FA6C0D">
        <w:tab/>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FA6C0D">
        <w:t xml:space="preserve"> = 8.1819190842622</w:t>
      </w:r>
      <m:oMath>
        <m:r>
          <w:rPr>
            <w:rFonts w:ascii="Cambria Math" w:hAnsi="Cambria Math"/>
          </w:rPr>
          <m:t>∙</m:t>
        </m:r>
      </m:oMath>
      <w:r w:rsidRPr="00FA6C0D">
        <w:t>10</w:t>
      </w:r>
      <w:r w:rsidRPr="00FA6C0D">
        <w:rPr>
          <w:vertAlign w:val="superscript"/>
        </w:rPr>
        <w:t>-2</w:t>
      </w:r>
    </w:p>
    <w:p w14:paraId="09CF4EB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Second eccentricity:</w:t>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FA6C0D">
        <w:t xml:space="preserve"> = 8.2094437949696</w:t>
      </w:r>
      <m:oMath>
        <m:r>
          <w:rPr>
            <w:rFonts w:ascii="Cambria Math" w:hAnsi="Cambria Math"/>
          </w:rPr>
          <m:t>∙</m:t>
        </m:r>
      </m:oMath>
      <w:r w:rsidRPr="00FA6C0D">
        <w:t>10</w:t>
      </w:r>
      <w:r w:rsidRPr="00FA6C0D">
        <w:rPr>
          <w:vertAlign w:val="superscript"/>
        </w:rPr>
        <w:t>-2</w:t>
      </w:r>
    </w:p>
    <w:p w14:paraId="710C440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Mean radius of the semi-axes:</w:t>
      </w:r>
      <w:r w:rsidRPr="00FA6C0D">
        <w:tab/>
      </w:r>
      <w:r w:rsidRPr="00FA6C0D">
        <w:tab/>
        <w:t>R1 = 6 371 008.7714 m</w:t>
      </w:r>
    </w:p>
    <w:p w14:paraId="7E99E60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different references used are the following:</w:t>
      </w:r>
    </w:p>
    <w:p w14:paraId="711A8A8F"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r>
      <w:proofErr w:type="spellStart"/>
      <w:r w:rsidRPr="00FA6C0D">
        <w:t>ECEF</w:t>
      </w:r>
      <w:proofErr w:type="spellEnd"/>
      <w:r w:rsidRPr="00FA6C0D">
        <w:t xml:space="preserve"> (Earth-</w:t>
      </w:r>
      <w:proofErr w:type="spellStart"/>
      <w:r w:rsidRPr="00FA6C0D">
        <w:t>Centered</w:t>
      </w:r>
      <w:proofErr w:type="spellEnd"/>
      <w:r w:rsidRPr="00FA6C0D">
        <w:t>, Earth-Fixed)</w:t>
      </w:r>
    </w:p>
    <w:p w14:paraId="22427F1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WGS84 (World Geodetic System 84)</w:t>
      </w:r>
    </w:p>
    <w:p w14:paraId="6C11976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ENU (East, North, Up).</w:t>
      </w:r>
    </w:p>
    <w:p w14:paraId="79EA174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They are presented in the figure below, where the angles φ and λ represent respectively the WGS84 latitude and longitude.</w:t>
      </w:r>
    </w:p>
    <w:p w14:paraId="248C80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3</w:t>
      </w:r>
    </w:p>
    <w:p w14:paraId="3D1DEF6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Coordinate references systems</w:t>
      </w:r>
    </w:p>
    <w:p w14:paraId="4077017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6C51D5D" wp14:editId="13045C85">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307FF6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b)</w:t>
      </w:r>
      <w:r w:rsidRPr="00FA6C0D">
        <w:rPr>
          <w:i/>
        </w:rPr>
        <w:tab/>
        <w:t xml:space="preserve">Receiver: fixed service station </w:t>
      </w:r>
    </w:p>
    <w:p w14:paraId="380EC63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Due to the applied methodology the results are independent from the location (latitude and longitude) of the fixed service. </w:t>
      </w:r>
    </w:p>
    <w:p w14:paraId="29D7B52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height of the station used for the study is 30 m and is always pointing in the same direction.</w:t>
      </w:r>
    </w:p>
    <w:p w14:paraId="534D6C5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lastRenderedPageBreak/>
        <w:t>c)</w:t>
      </w:r>
      <w:r w:rsidRPr="00FA6C0D">
        <w:rPr>
          <w:i/>
        </w:rPr>
        <w:tab/>
        <w:t>Transmitter: Unmanned aircraft earth station</w:t>
      </w:r>
    </w:p>
    <w:p w14:paraId="5C4210E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6D8F832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Two different scenarios are considered in each study:</w:t>
      </w:r>
    </w:p>
    <w:p w14:paraId="35A8289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1:</w:t>
      </w:r>
    </w:p>
    <w:p w14:paraId="0F2A219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1, the entry and exit points are both chosen randomly on the line of sight circle of the fixed service station.</w:t>
      </w:r>
    </w:p>
    <w:p w14:paraId="5E56830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2:</w:t>
      </w:r>
    </w:p>
    <w:p w14:paraId="37EE7F96"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2, the entry points are chosen randomly on the line of sight circle of the fixed service station but the exit points are forced to be at 180° of their corresponding entry point, so that the UA always flies over the fixed service station.</w:t>
      </w:r>
    </w:p>
    <w:p w14:paraId="53A16C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Lines="50" w:after="120"/>
      </w:pPr>
      <w:r w:rsidRPr="00FA6C0D">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651"/>
        <w:gridCol w:w="4709"/>
      </w:tblGrid>
      <w:tr w:rsidR="00FA6C0D" w:rsidRPr="00FA6C0D" w14:paraId="79AD4EDA" w14:textId="77777777" w:rsidTr="00322C38">
        <w:tc>
          <w:tcPr>
            <w:tcW w:w="4790" w:type="dxa"/>
            <w:shd w:val="clear" w:color="auto" w:fill="auto"/>
          </w:tcPr>
          <w:p w14:paraId="72D0BC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4</w:t>
            </w:r>
          </w:p>
          <w:p w14:paraId="4CCAD9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1</w:t>
            </w:r>
          </w:p>
        </w:tc>
        <w:tc>
          <w:tcPr>
            <w:tcW w:w="4849" w:type="dxa"/>
            <w:shd w:val="clear" w:color="auto" w:fill="auto"/>
          </w:tcPr>
          <w:p w14:paraId="1CFD2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5</w:t>
            </w:r>
          </w:p>
          <w:p w14:paraId="3777601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2</w:t>
            </w:r>
          </w:p>
        </w:tc>
      </w:tr>
      <w:tr w:rsidR="00FA6C0D" w:rsidRPr="00FA6C0D" w14:paraId="7FBBB19A" w14:textId="77777777" w:rsidTr="00322C38">
        <w:tc>
          <w:tcPr>
            <w:tcW w:w="4790" w:type="dxa"/>
            <w:shd w:val="clear" w:color="auto" w:fill="auto"/>
          </w:tcPr>
          <w:p w14:paraId="08B709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95E04BA" wp14:editId="16E82612">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102491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309337D" wp14:editId="73093007">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5E9959A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altitudes have been considered: 1 000 m, 4 000 m, 7 000 m, 10 000 m, 13 000 m and 16 000 m. Several aircraft speeds were used in the simulation and it was found that the results were not dependent on this parameter. However, the results presented in this study were generated for an aircraft speed of 200 kt (370 km/h).</w:t>
      </w:r>
    </w:p>
    <w:p w14:paraId="3C114D7C"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lastRenderedPageBreak/>
        <w:t>Figure 6 below shows the parameters used to define the line-of-sight circle:</w:t>
      </w:r>
    </w:p>
    <w:p w14:paraId="7ED6648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6</w:t>
      </w:r>
    </w:p>
    <w:p w14:paraId="01DAE6F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Parameters for line-of-sight circle</w:t>
      </w:r>
    </w:p>
    <w:p w14:paraId="45DB181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28472C8" wp14:editId="6E342E68">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013861C9" w14:textId="77777777" w:rsidR="00FA6C0D" w:rsidRPr="00FA6C0D" w:rsidRDefault="00FA6C0D" w:rsidP="00FA6C0D">
      <w:pPr>
        <w:tabs>
          <w:tab w:val="clear" w:pos="794"/>
          <w:tab w:val="clear" w:pos="1191"/>
          <w:tab w:val="clear" w:pos="1588"/>
          <w:tab w:val="clear" w:pos="1985"/>
          <w:tab w:val="left" w:pos="1134"/>
          <w:tab w:val="center" w:pos="4820"/>
          <w:tab w:val="right" w:pos="9639"/>
        </w:tabs>
        <w:rPr>
          <w:lang w:eastAsia="zh-CN"/>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6B0C194F"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A33DBDE"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4286B5E1"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4FC5799"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r w:rsidRPr="00FA6C0D">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1FB960C6"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 xml:space="preserve">With </w:t>
      </w:r>
      <w:r w:rsidRPr="00FA6C0D">
        <w:sym w:font="Symbol" w:char="F079"/>
      </w:r>
      <w:r w:rsidRPr="00FA6C0D">
        <w:t xml:space="preserve"> as the azimuth of the visibility circle of the Fixed service station.</w:t>
      </w:r>
    </w:p>
    <w:p w14:paraId="25C25DC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4</w:t>
      </w:r>
      <w:r w:rsidRPr="00FA6C0D">
        <w:rPr>
          <w:b/>
          <w:sz w:val="28"/>
        </w:rPr>
        <w:tab/>
        <w:t>Characteristics of fixed service station</w:t>
      </w:r>
    </w:p>
    <w:p w14:paraId="2C9376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Interference level</w:t>
      </w:r>
    </w:p>
    <w:p w14:paraId="3025A340" w14:textId="77777777" w:rsidR="00FA6C0D" w:rsidRPr="00FA6C0D" w:rsidRDefault="00FA6C0D" w:rsidP="00FA6C0D">
      <w:pPr>
        <w:tabs>
          <w:tab w:val="clear" w:pos="794"/>
          <w:tab w:val="clear" w:pos="1191"/>
          <w:tab w:val="clear" w:pos="1588"/>
          <w:tab w:val="clear" w:pos="1985"/>
          <w:tab w:val="left" w:pos="1134"/>
          <w:tab w:val="left" w:pos="1871"/>
          <w:tab w:val="left" w:pos="2268"/>
        </w:tabs>
        <w:spacing w:line="480" w:lineRule="auto"/>
      </w:pPr>
      <w:r w:rsidRPr="00FA6C0D">
        <w:t>The interference level is obtained by applying the following formula:</w:t>
      </w:r>
    </w:p>
    <w:p w14:paraId="2EF49AC1" w14:textId="77777777" w:rsidR="00FA6C0D" w:rsidRPr="00FA6C0D" w:rsidRDefault="00FA6C0D" w:rsidP="00FA6C0D">
      <w:pPr>
        <w:tabs>
          <w:tab w:val="clear" w:pos="794"/>
          <w:tab w:val="clear" w:pos="1191"/>
          <w:tab w:val="clear" w:pos="1588"/>
          <w:tab w:val="clear" w:pos="1985"/>
          <w:tab w:val="left" w:pos="1134"/>
          <w:tab w:val="center" w:pos="4820"/>
          <w:tab w:val="right" w:pos="9639"/>
        </w:tabs>
      </w:pPr>
      <m:oMathPara>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m:oMathPara>
    </w:p>
    <w:p w14:paraId="78E1A30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with:</w:t>
      </w:r>
    </w:p>
    <w:p w14:paraId="0338E166"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rPr>
          <w:i/>
          <w:iCs/>
        </w:rPr>
        <w:t>f</w:t>
      </w:r>
      <w:r w:rsidRPr="00FA6C0D">
        <w:t xml:space="preserve"> </w:t>
      </w:r>
      <w:r w:rsidRPr="00FA6C0D">
        <w:tab/>
        <w:t>in Hz;</w:t>
      </w:r>
    </w:p>
    <w:p w14:paraId="382BB808"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lastRenderedPageBreak/>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FA6C0D">
        <w:t xml:space="preserve"> </w:t>
      </w:r>
      <w:r w:rsidRPr="00FA6C0D">
        <w:tab/>
        <w:t>as the speed of light in m/s;</w:t>
      </w:r>
    </w:p>
    <w:p w14:paraId="003FEAAC"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FA6C0D">
        <w:t xml:space="preserve"> </w:t>
      </w:r>
      <w:r w:rsidRPr="00FA6C0D">
        <w:tab/>
        <w:t>as the receive gain of the fixed service station;</w:t>
      </w:r>
    </w:p>
    <w:p w14:paraId="2F1A71D9"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1"/>
      </w:r>
      <w:r w:rsidRPr="00FA6C0D">
        <w:tab/>
        <w:t>is the angle of arrival of the radio-frequency wave in degrees; and</w:t>
      </w:r>
    </w:p>
    <w:p w14:paraId="248E4F80"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A"/>
      </w:r>
      <w:r w:rsidRPr="00FA6C0D">
        <w:t xml:space="preserve"> </w:t>
      </w:r>
      <w:r w:rsidRPr="00FA6C0D">
        <w:tab/>
        <w:t>as the</w:t>
      </w:r>
      <w:r w:rsidRPr="00FA6C0D">
        <w:rPr>
          <w:iCs/>
        </w:rPr>
        <w:t xml:space="preserve"> angle between the point of boresight of the fixed service station antenna as the UA as seen from the fixed service station in degrees.</w:t>
      </w:r>
    </w:p>
    <w:p w14:paraId="028CB6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Noise level</w:t>
      </w:r>
    </w:p>
    <w:p w14:paraId="6B3573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receiver noise power density of the fixed service station considered in this study is, according to Recommendation ITU-R F.758, -136 dBW/MHz.</w:t>
      </w:r>
    </w:p>
    <w:p w14:paraId="7C9154B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5</w:t>
      </w:r>
      <w:r w:rsidRPr="00FA6C0D">
        <w:rPr>
          <w:b/>
          <w:sz w:val="28"/>
        </w:rPr>
        <w:tab/>
        <w:t>Protection criteria</w:t>
      </w:r>
    </w:p>
    <w:p w14:paraId="6E6C55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accordance Rec. ITU-R F.758, all of the following three protection criteria are used in the study:</w:t>
      </w:r>
    </w:p>
    <w:p w14:paraId="4D148D8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long-term protection criterion (LTPC) of not exceeding an </w:t>
      </w:r>
      <w:r w:rsidRPr="00FA6C0D">
        <w:rPr>
          <w:i/>
        </w:rPr>
        <w:t>I/N</w:t>
      </w:r>
      <w:r w:rsidRPr="00FA6C0D">
        <w:t xml:space="preserve"> level of -10 dB for more than 20 percent of the time.</w:t>
      </w:r>
    </w:p>
    <w:p w14:paraId="2885864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short-term protection criterion (STPC) of an </w:t>
      </w:r>
      <w:r w:rsidRPr="00FA6C0D">
        <w:rPr>
          <w:i/>
        </w:rPr>
        <w:t>I/N</w:t>
      </w:r>
      <w:r w:rsidRPr="00FA6C0D">
        <w:t xml:space="preserve"> level of +19 dB for more than 2.7</w:t>
      </w:r>
      <m:oMath>
        <m:r>
          <w:rPr>
            <w:rFonts w:ascii="Cambria Math" w:hAnsi="Cambria Math"/>
          </w:rPr>
          <m:t>∙</m:t>
        </m:r>
      </m:oMath>
      <w:r w:rsidRPr="00FA6C0D">
        <w:t>10</w:t>
      </w:r>
      <w:r w:rsidRPr="00FA6C0D">
        <w:rPr>
          <w:vertAlign w:val="superscript"/>
        </w:rPr>
        <w:t>-4</w:t>
      </w:r>
      <w:r w:rsidRPr="00FA6C0D">
        <w:t xml:space="preserve"> percent of the time.</w:t>
      </w:r>
    </w:p>
    <w:p w14:paraId="257D014D"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A fractional degradation of performance (FDP) threshold of 10% according to the methodology set out in in Recommendation ITU-R F.1108.</w:t>
      </w:r>
    </w:p>
    <w:p w14:paraId="47A7A098" w14:textId="77777777" w:rsidR="00FA6C0D" w:rsidRPr="00FA6C0D" w:rsidRDefault="00FA6C0D" w:rsidP="00FA6C0D">
      <w:pPr>
        <w:tabs>
          <w:tab w:val="clear" w:pos="794"/>
          <w:tab w:val="clear" w:pos="1191"/>
          <w:tab w:val="clear" w:pos="1588"/>
          <w:tab w:val="clear" w:pos="1985"/>
          <w:tab w:val="left" w:pos="1134"/>
          <w:tab w:val="center" w:pos="4820"/>
          <w:tab w:val="right" w:pos="9639"/>
        </w:tabs>
      </w:pPr>
    </w:p>
    <w:p w14:paraId="04C8B4D9"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pPr>
      <w:r w:rsidRPr="00FA6C0D">
        <w:br w:type="page"/>
      </w:r>
    </w:p>
    <w:p w14:paraId="22CEA3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2</w:t>
      </w:r>
    </w:p>
    <w:p w14:paraId="6C57C87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 xml:space="preserve">Study #1 14-14.3 GHz </w:t>
      </w:r>
    </w:p>
    <w:p w14:paraId="7EB2A7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Summary</w:t>
      </w:r>
    </w:p>
    <w:p w14:paraId="26DDD3E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FA6C0D">
        <w:rPr>
          <w:b/>
          <w:bCs/>
        </w:rPr>
        <w:t>5.505</w:t>
      </w:r>
      <w:r w:rsidRPr="00FA6C0D">
        <w:t>.</w:t>
      </w:r>
    </w:p>
    <w:p w14:paraId="2715FA1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verification that the pfd mask protects the fixed service in this frequency band, the methodology described in Annex 1 was applied.</w:t>
      </w:r>
    </w:p>
    <w:p w14:paraId="1128034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4713444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492EAD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 used for the studies is selected, respectively, as 37 and 28 dBi. The antenna pattern is based on Recommendation ITU-R F.1245 for point-to-point (P-P) links.</w:t>
      </w:r>
    </w:p>
    <w:p w14:paraId="1EBE69C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Antenna elevation</w:t>
      </w:r>
    </w:p>
    <w:p w14:paraId="09ED0E0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the antenna elevation, the following values were taken into account: 0° and 5°.</w:t>
      </w:r>
    </w:p>
    <w:p w14:paraId="6640CDE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5F2723A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pfd mask the following two figures present the complementary cumulative distribution function (CCDF) of the </w:t>
      </w:r>
      <w:r w:rsidRPr="00FA6C0D">
        <w:rPr>
          <w:i/>
          <w:iCs/>
        </w:rPr>
        <w:t>I/N</w:t>
      </w:r>
      <w:r w:rsidRPr="00FA6C0D">
        <w:t xml:space="preserve"> caused at the victim fixed service station having an antenna gain of 37 dBi and elevation angle of 0° and 5°, respectively. In both cases, the long-term and the short-term protection criteria are not exceeded at any time.</w:t>
      </w:r>
    </w:p>
    <w:p w14:paraId="7B90961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7</w:t>
      </w:r>
    </w:p>
    <w:p w14:paraId="74DBB07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Interference to noise ratio exceedance 37 dBi and 0° fixed service antenna elevation</w:t>
      </w:r>
    </w:p>
    <w:p w14:paraId="2B0D046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napToGrid w:val="0"/>
          <w:sz w:val="20"/>
          <w:lang w:eastAsia="zh-CN"/>
        </w:rPr>
      </w:pPr>
      <w:r w:rsidRPr="00FA6C0D">
        <w:rPr>
          <w:noProof/>
          <w:lang w:val="en-US"/>
        </w:rPr>
        <w:drawing>
          <wp:inline distT="0" distB="0" distL="0" distR="0" wp14:anchorId="62E53E1F" wp14:editId="0F8D0C4C">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D6F52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8</w:t>
      </w:r>
    </w:p>
    <w:p w14:paraId="22B1DD8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37 dBi and 0° fixed service antenna elevation</w:t>
      </w:r>
    </w:p>
    <w:p w14:paraId="1C8D2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1D7BB4" wp14:editId="531F75CA">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F3750F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382AD92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9</w:t>
      </w:r>
    </w:p>
    <w:p w14:paraId="5ED9352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0° fixed service antenna elevation</w:t>
      </w:r>
    </w:p>
    <w:p w14:paraId="4DDA36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snapToGrid w:val="0"/>
          <w:lang w:eastAsia="zh-CN"/>
        </w:rPr>
      </w:pPr>
      <w:r w:rsidRPr="00FA6C0D">
        <w:rPr>
          <w:noProof/>
          <w:lang w:val="en-US"/>
        </w:rPr>
        <w:drawing>
          <wp:inline distT="0" distB="0" distL="0" distR="0" wp14:anchorId="78F6B892" wp14:editId="2C13B259">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76E56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10</w:t>
      </w:r>
    </w:p>
    <w:p w14:paraId="6F0651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5° fixed service antenna elevation</w:t>
      </w:r>
    </w:p>
    <w:p w14:paraId="6066A663"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AADDD2C" wp14:editId="4B0A967C">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D0A041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644C0E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11</w:t>
      </w:r>
    </w:p>
    <w:p w14:paraId="54DAA86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637C71A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03BE10B" wp14:editId="44356692">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82110E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12</w:t>
      </w:r>
    </w:p>
    <w:p w14:paraId="679128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46D93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FACC761" wp14:editId="3269B3FF">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7394ED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0C929A0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13</w:t>
      </w:r>
    </w:p>
    <w:p w14:paraId="6F2AAA3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52D022D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C2B1CB9" wp14:editId="3CF9ABF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5D59AD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14</w:t>
      </w:r>
    </w:p>
    <w:p w14:paraId="3EA26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w:t>
      </w:r>
      <w:proofErr w:type="spellStart"/>
      <w:r w:rsidRPr="00FA6C0D">
        <w:rPr>
          <w:rFonts w:ascii="Times New Roman Bold" w:hAnsi="Times New Roman Bold"/>
          <w:b/>
          <w:sz w:val="20"/>
        </w:rPr>
        <w:t>perfromance</w:t>
      </w:r>
      <w:proofErr w:type="spellEnd"/>
      <w:r w:rsidRPr="00FA6C0D">
        <w:rPr>
          <w:rFonts w:ascii="Times New Roman Bold" w:hAnsi="Times New Roman Bold"/>
          <w:b/>
          <w:sz w:val="20"/>
        </w:rPr>
        <w:t xml:space="preserve"> 28 dBi and 5° fixed service antenna elevation</w:t>
      </w:r>
    </w:p>
    <w:p w14:paraId="76D4E76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1460202" wp14:editId="05C7EF2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0BF864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2E8E726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lastRenderedPageBreak/>
        <w:t>d)</w:t>
      </w:r>
      <w:r w:rsidRPr="00FA6C0D">
        <w:rPr>
          <w:rFonts w:ascii="Times New Roman Bold" w:hAnsi="Times New Roman Bold" w:cs="Times New Roman Bold"/>
          <w:b/>
        </w:rPr>
        <w:tab/>
        <w:t>Examples of interference to noise ratio complementary cumulative distribution function for scenario 2</w:t>
      </w:r>
    </w:p>
    <w:p w14:paraId="29C7F73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Based on the proposed pfd mask the following two figures present the CCDF of the I/N caused at the victim fixed service station having an antenna gain of 37 dBi and elevation angle of 0° and 5°, respectively. In both cases, the long-term and the short-term protection criteria are not exceeded at any time.</w:t>
      </w:r>
    </w:p>
    <w:p w14:paraId="7763E75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z w:val="20"/>
        </w:rPr>
        <w:t>FIGURE</w:t>
      </w:r>
      <w:r w:rsidRPr="00FA6C0D">
        <w:rPr>
          <w:caps/>
          <w:snapToGrid w:val="0"/>
          <w:sz w:val="20"/>
        </w:rPr>
        <w:t xml:space="preserve"> 15</w:t>
      </w:r>
    </w:p>
    <w:p w14:paraId="4EAF308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0° fixed service antenna elevation</w:t>
      </w:r>
    </w:p>
    <w:p w14:paraId="31E573C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22F7321" wp14:editId="51609466">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A98414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16</w:t>
      </w:r>
    </w:p>
    <w:p w14:paraId="4E0C6D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5° fixed service antenna elevation</w:t>
      </w:r>
    </w:p>
    <w:p w14:paraId="4DC7F5C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129FDFA" wp14:editId="43010908">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B2CE91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54F65B9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17</w:t>
      </w:r>
    </w:p>
    <w:p w14:paraId="0A237F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0° fixed service antenna elevation</w:t>
      </w:r>
    </w:p>
    <w:p w14:paraId="0ECFCF7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C44E01" wp14:editId="1AF12FFE">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5575CA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18</w:t>
      </w:r>
    </w:p>
    <w:p w14:paraId="138A4AA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5° fixed service antenna elevation</w:t>
      </w:r>
    </w:p>
    <w:p w14:paraId="3B5E0C2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CADC85" wp14:editId="4E7AAB77">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20441A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1858751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19</w:t>
      </w:r>
    </w:p>
    <w:p w14:paraId="14900A9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74F3B8B1"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310C334" wp14:editId="451D8CF7">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5015D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20</w:t>
      </w:r>
    </w:p>
    <w:p w14:paraId="605CAEF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5EB2213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B5A8DD" wp14:editId="691BE48C">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2B1E84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2E28610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21</w:t>
      </w:r>
    </w:p>
    <w:p w14:paraId="5E1E373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4838CFE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E1BCCE3" wp14:editId="3B900E3C">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68CE77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22</w:t>
      </w:r>
    </w:p>
    <w:p w14:paraId="2697FD6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5° fixed service antenna elevation</w:t>
      </w:r>
    </w:p>
    <w:p w14:paraId="2FE0E4A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07EF1AF" wp14:editId="410A90E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1AFE5A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340935F8"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606834D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3</w:t>
      </w:r>
    </w:p>
    <w:p w14:paraId="18BF524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Study #2 14.25-14.47 GHz</w:t>
      </w:r>
    </w:p>
    <w:p w14:paraId="7EC5310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6DF6F0A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357BDE9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gains used in this study were 49, 45, 35, 28 or 18 dBi.</w:t>
      </w:r>
    </w:p>
    <w:p w14:paraId="6C15F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antenna patterns shown in Figure 7 are based on Recommendation </w:t>
      </w:r>
      <w:hyperlink r:id="rId36" w:history="1">
        <w:r w:rsidRPr="00FA6C0D">
          <w:t>ITU-R F.1245</w:t>
        </w:r>
      </w:hyperlink>
      <w:r w:rsidRPr="00FA6C0D">
        <w:t xml:space="preserve"> for point-to-point (P-P) links.</w:t>
      </w:r>
    </w:p>
    <w:p w14:paraId="220ADC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23</w:t>
      </w:r>
    </w:p>
    <w:p w14:paraId="15AC15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Antenna patterns for various fixed service antenna gains</w:t>
      </w:r>
    </w:p>
    <w:p w14:paraId="05C6EFC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D65CEF3" wp14:editId="55C122BB">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7">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3BE9457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 xml:space="preserve">Antenna elevation </w:t>
      </w:r>
    </w:p>
    <w:p w14:paraId="7F19B09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or the antenna elevation, the following values were taken into account: 0°, 1°, 2°, 3°, 4° and 5°. </w:t>
      </w:r>
    </w:p>
    <w:p w14:paraId="1798F8C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628C0B35"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3196DD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3B0C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24</w:t>
      </w:r>
    </w:p>
    <w:p w14:paraId="30786B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de-DE"/>
        </w:rPr>
      </w:pPr>
      <w:r w:rsidRPr="00FA6C0D">
        <w:rPr>
          <w:rFonts w:ascii="Times New Roman Bold" w:hAnsi="Times New Roman Bold"/>
          <w:b/>
          <w:snapToGrid w:val="0"/>
          <w:sz w:val="20"/>
        </w:rPr>
        <w:t>Interference to noise ratio exceedance 49 dBi and 0° fixed service antenna elevation</w:t>
      </w:r>
    </w:p>
    <w:p w14:paraId="16CDD1C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D5E53B2" wp14:editId="56BDC5DB">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8">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0F57B6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25</w:t>
      </w:r>
    </w:p>
    <w:p w14:paraId="148B525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3FE3AC0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95C3581" wp14:editId="717D729F">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C4C48A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358B6D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26</w:t>
      </w:r>
    </w:p>
    <w:p w14:paraId="41023FD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0E5776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4A33904" wp14:editId="34CF4704">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4C6E5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27</w:t>
      </w:r>
    </w:p>
    <w:p w14:paraId="3F8B253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581FDE7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EE421F9" wp14:editId="60F805CD">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9A63E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d)</w:t>
      </w:r>
      <w:r w:rsidRPr="00FA6C0D">
        <w:rPr>
          <w:rFonts w:ascii="Times New Roman Bold" w:hAnsi="Times New Roman Bold" w:cs="Times New Roman Bold"/>
          <w:b/>
        </w:rPr>
        <w:tab/>
        <w:t>Examples of interference to noise ratio complementary cumulative distribution function for scenario 2</w:t>
      </w:r>
    </w:p>
    <w:p w14:paraId="59AACCC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087F0F7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D8116E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28</w:t>
      </w:r>
    </w:p>
    <w:p w14:paraId="2C58917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0° fixed service antenna elevation</w:t>
      </w:r>
    </w:p>
    <w:p w14:paraId="5CD1F54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26037A17" wp14:editId="6E6F9E6B">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DBC47B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29</w:t>
      </w:r>
    </w:p>
    <w:p w14:paraId="3B19036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49A4C6C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B1D5573" wp14:editId="3F63E9E1">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69E4B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6678B51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30</w:t>
      </w:r>
    </w:p>
    <w:p w14:paraId="3FC9424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2700535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710330D" wp14:editId="43838384">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28B121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31</w:t>
      </w:r>
    </w:p>
    <w:p w14:paraId="3C42E1F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6CE47F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7593A4B" wp14:editId="251E12D5">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bookmarkEnd w:id="30"/>
    <w:p w14:paraId="1500F95D"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p>
    <w:p w14:paraId="616B2F56" w14:textId="77777777" w:rsidR="00FA6C0D" w:rsidRPr="00FA6C0D" w:rsidRDefault="00FA6C0D" w:rsidP="00FA6C0D">
      <w:pPr>
        <w:tabs>
          <w:tab w:val="clear" w:pos="794"/>
          <w:tab w:val="clear" w:pos="1191"/>
          <w:tab w:val="left" w:pos="1134"/>
        </w:tabs>
      </w:pPr>
    </w:p>
    <w:p w14:paraId="6803EC2D" w14:textId="77777777" w:rsidR="00FA6C0D" w:rsidRPr="00FA6C0D" w:rsidRDefault="00FA6C0D" w:rsidP="00FA6C0D">
      <w:pPr>
        <w:tabs>
          <w:tab w:val="clear" w:pos="794"/>
          <w:tab w:val="clear" w:pos="1191"/>
          <w:tab w:val="clear" w:pos="1588"/>
          <w:tab w:val="clear" w:pos="1985"/>
          <w:tab w:val="left" w:pos="1134"/>
          <w:tab w:val="left" w:pos="1871"/>
          <w:tab w:val="left" w:pos="2268"/>
        </w:tabs>
        <w:jc w:val="center"/>
      </w:pPr>
      <w:r w:rsidRPr="00FA6C0D">
        <w:t>______________</w:t>
      </w:r>
    </w:p>
    <w:p w14:paraId="3F962B21" w14:textId="77777777" w:rsidR="00A94643" w:rsidRPr="00514A3F" w:rsidRDefault="00A94643" w:rsidP="0073325C">
      <w:pPr>
        <w:rPr>
          <w:szCs w:val="24"/>
        </w:rPr>
      </w:pPr>
    </w:p>
    <w:sectPr w:rsidR="00A94643" w:rsidRPr="00514A3F" w:rsidSect="00FE0EEA">
      <w:headerReference w:type="default" r:id="rId46"/>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409C0" w14:textId="77777777" w:rsidR="007A1C4D" w:rsidRDefault="007A1C4D">
      <w:r>
        <w:separator/>
      </w:r>
    </w:p>
  </w:endnote>
  <w:endnote w:type="continuationSeparator" w:id="0">
    <w:p w14:paraId="4C00B057" w14:textId="77777777" w:rsidR="007A1C4D" w:rsidRDefault="007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CAD444" w14:textId="77777777" w:rsidR="007A1C4D" w:rsidRDefault="007A1C4D">
      <w:r>
        <w:t>____________________</w:t>
      </w:r>
    </w:p>
  </w:footnote>
  <w:footnote w:type="continuationSeparator" w:id="0">
    <w:p w14:paraId="6F27B4FB" w14:textId="77777777" w:rsidR="007A1C4D" w:rsidRDefault="007A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07C67" w14:textId="77777777" w:rsidR="00E94F14" w:rsidRPr="0012658E" w:rsidRDefault="00E94F14">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0072EE"/>
    <w:multiLevelType w:val="hybridMultilevel"/>
    <w:tmpl w:val="53347964"/>
    <w:lvl w:ilvl="0" w:tplc="CDA006D2">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E11AE5"/>
    <w:multiLevelType w:val="hybridMultilevel"/>
    <w:tmpl w:val="18E20E4C"/>
    <w:lvl w:ilvl="0" w:tplc="9DD0DB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1"/>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328A7"/>
    <w:rsid w:val="00035DFB"/>
    <w:rsid w:val="00037ABB"/>
    <w:rsid w:val="000423A9"/>
    <w:rsid w:val="00050894"/>
    <w:rsid w:val="00051FEC"/>
    <w:rsid w:val="0006109B"/>
    <w:rsid w:val="00074F49"/>
    <w:rsid w:val="000B1040"/>
    <w:rsid w:val="000C3C3C"/>
    <w:rsid w:val="000D24F6"/>
    <w:rsid w:val="000F5349"/>
    <w:rsid w:val="00103467"/>
    <w:rsid w:val="0011369F"/>
    <w:rsid w:val="00115AB5"/>
    <w:rsid w:val="0012356F"/>
    <w:rsid w:val="0014430B"/>
    <w:rsid w:val="00155EAF"/>
    <w:rsid w:val="001616A4"/>
    <w:rsid w:val="00170C40"/>
    <w:rsid w:val="00176055"/>
    <w:rsid w:val="001762AC"/>
    <w:rsid w:val="00181569"/>
    <w:rsid w:val="001A2611"/>
    <w:rsid w:val="001A2B81"/>
    <w:rsid w:val="001A2B85"/>
    <w:rsid w:val="001A3DE6"/>
    <w:rsid w:val="001A72D5"/>
    <w:rsid w:val="001C6923"/>
    <w:rsid w:val="001C6BCC"/>
    <w:rsid w:val="001D3303"/>
    <w:rsid w:val="001D5D35"/>
    <w:rsid w:val="001D76B5"/>
    <w:rsid w:val="001F287F"/>
    <w:rsid w:val="001F4B5B"/>
    <w:rsid w:val="002071BD"/>
    <w:rsid w:val="0021056E"/>
    <w:rsid w:val="00211DE2"/>
    <w:rsid w:val="002148CA"/>
    <w:rsid w:val="00233664"/>
    <w:rsid w:val="00246858"/>
    <w:rsid w:val="00255DE8"/>
    <w:rsid w:val="0025651B"/>
    <w:rsid w:val="00261BCA"/>
    <w:rsid w:val="00272B66"/>
    <w:rsid w:val="00286F87"/>
    <w:rsid w:val="00295D03"/>
    <w:rsid w:val="002968C7"/>
    <w:rsid w:val="00297CAC"/>
    <w:rsid w:val="002C44F8"/>
    <w:rsid w:val="002C6D77"/>
    <w:rsid w:val="002F41B5"/>
    <w:rsid w:val="002F5E8A"/>
    <w:rsid w:val="00322C38"/>
    <w:rsid w:val="00323743"/>
    <w:rsid w:val="003307DB"/>
    <w:rsid w:val="003808B6"/>
    <w:rsid w:val="003A7E29"/>
    <w:rsid w:val="003B6663"/>
    <w:rsid w:val="003C13DB"/>
    <w:rsid w:val="003C2531"/>
    <w:rsid w:val="003D2487"/>
    <w:rsid w:val="003F7D34"/>
    <w:rsid w:val="0040303B"/>
    <w:rsid w:val="00406EE2"/>
    <w:rsid w:val="00412607"/>
    <w:rsid w:val="004126E3"/>
    <w:rsid w:val="004226D6"/>
    <w:rsid w:val="00424E04"/>
    <w:rsid w:val="004356FA"/>
    <w:rsid w:val="00435B13"/>
    <w:rsid w:val="00441294"/>
    <w:rsid w:val="004556C6"/>
    <w:rsid w:val="00461607"/>
    <w:rsid w:val="0047247F"/>
    <w:rsid w:val="004746D5"/>
    <w:rsid w:val="004758EF"/>
    <w:rsid w:val="00483073"/>
    <w:rsid w:val="00490665"/>
    <w:rsid w:val="00493EE0"/>
    <w:rsid w:val="004C1A6F"/>
    <w:rsid w:val="004C6A62"/>
    <w:rsid w:val="004C6BA5"/>
    <w:rsid w:val="004D1E6B"/>
    <w:rsid w:val="004D45FD"/>
    <w:rsid w:val="004D6137"/>
    <w:rsid w:val="004E1EDF"/>
    <w:rsid w:val="005011AE"/>
    <w:rsid w:val="0050232A"/>
    <w:rsid w:val="005056D1"/>
    <w:rsid w:val="00511793"/>
    <w:rsid w:val="00514A3F"/>
    <w:rsid w:val="00527A25"/>
    <w:rsid w:val="00545C87"/>
    <w:rsid w:val="005464F5"/>
    <w:rsid w:val="005479A3"/>
    <w:rsid w:val="00562835"/>
    <w:rsid w:val="00573D1D"/>
    <w:rsid w:val="00575242"/>
    <w:rsid w:val="00582985"/>
    <w:rsid w:val="00595208"/>
    <w:rsid w:val="0059695B"/>
    <w:rsid w:val="005A0308"/>
    <w:rsid w:val="005A19C7"/>
    <w:rsid w:val="005B661F"/>
    <w:rsid w:val="005B77F5"/>
    <w:rsid w:val="005B7A09"/>
    <w:rsid w:val="005C3350"/>
    <w:rsid w:val="005D2BD7"/>
    <w:rsid w:val="00646B80"/>
    <w:rsid w:val="00664890"/>
    <w:rsid w:val="00696A28"/>
    <w:rsid w:val="006C6080"/>
    <w:rsid w:val="006C6257"/>
    <w:rsid w:val="006D53DE"/>
    <w:rsid w:val="006E6BFC"/>
    <w:rsid w:val="006F661E"/>
    <w:rsid w:val="00701806"/>
    <w:rsid w:val="00701D30"/>
    <w:rsid w:val="00721944"/>
    <w:rsid w:val="00723BA8"/>
    <w:rsid w:val="0073325C"/>
    <w:rsid w:val="00733A8A"/>
    <w:rsid w:val="007402C3"/>
    <w:rsid w:val="007423FE"/>
    <w:rsid w:val="00743DD5"/>
    <w:rsid w:val="007512D4"/>
    <w:rsid w:val="00764EB5"/>
    <w:rsid w:val="00765AFA"/>
    <w:rsid w:val="00775DCC"/>
    <w:rsid w:val="00783304"/>
    <w:rsid w:val="00784DF7"/>
    <w:rsid w:val="00785ADD"/>
    <w:rsid w:val="007869BE"/>
    <w:rsid w:val="00786DB3"/>
    <w:rsid w:val="007A1C4D"/>
    <w:rsid w:val="007A7E9C"/>
    <w:rsid w:val="007B15D2"/>
    <w:rsid w:val="007B3FE2"/>
    <w:rsid w:val="007B74BA"/>
    <w:rsid w:val="007C6132"/>
    <w:rsid w:val="00807158"/>
    <w:rsid w:val="00816499"/>
    <w:rsid w:val="00822DE6"/>
    <w:rsid w:val="0088397E"/>
    <w:rsid w:val="00892A9D"/>
    <w:rsid w:val="008B23AE"/>
    <w:rsid w:val="008B42DB"/>
    <w:rsid w:val="008C3CDE"/>
    <w:rsid w:val="008D1CCD"/>
    <w:rsid w:val="008D1E9D"/>
    <w:rsid w:val="008D5E82"/>
    <w:rsid w:val="008E4709"/>
    <w:rsid w:val="008E5CCE"/>
    <w:rsid w:val="009076BE"/>
    <w:rsid w:val="009318E1"/>
    <w:rsid w:val="00943AB7"/>
    <w:rsid w:val="0094539E"/>
    <w:rsid w:val="009465A2"/>
    <w:rsid w:val="00946EC6"/>
    <w:rsid w:val="00967DEA"/>
    <w:rsid w:val="00973D61"/>
    <w:rsid w:val="00980405"/>
    <w:rsid w:val="00980998"/>
    <w:rsid w:val="00986D8C"/>
    <w:rsid w:val="009920F3"/>
    <w:rsid w:val="00994177"/>
    <w:rsid w:val="009B0D57"/>
    <w:rsid w:val="009B746E"/>
    <w:rsid w:val="009C187E"/>
    <w:rsid w:val="009C6126"/>
    <w:rsid w:val="009D18DA"/>
    <w:rsid w:val="009E2C93"/>
    <w:rsid w:val="009E2DE4"/>
    <w:rsid w:val="009E3088"/>
    <w:rsid w:val="009E7823"/>
    <w:rsid w:val="00A14235"/>
    <w:rsid w:val="00A20242"/>
    <w:rsid w:val="00A26354"/>
    <w:rsid w:val="00A54C8A"/>
    <w:rsid w:val="00A57C89"/>
    <w:rsid w:val="00A600CB"/>
    <w:rsid w:val="00A703EC"/>
    <w:rsid w:val="00A71BFB"/>
    <w:rsid w:val="00A72792"/>
    <w:rsid w:val="00A82078"/>
    <w:rsid w:val="00A9004C"/>
    <w:rsid w:val="00A915CD"/>
    <w:rsid w:val="00A9347D"/>
    <w:rsid w:val="00A94643"/>
    <w:rsid w:val="00AA5B2A"/>
    <w:rsid w:val="00AB5F43"/>
    <w:rsid w:val="00AC3A8F"/>
    <w:rsid w:val="00AC7DD8"/>
    <w:rsid w:val="00AD7219"/>
    <w:rsid w:val="00B21BB3"/>
    <w:rsid w:val="00B252A6"/>
    <w:rsid w:val="00B41E7B"/>
    <w:rsid w:val="00B52999"/>
    <w:rsid w:val="00B56EB8"/>
    <w:rsid w:val="00B72F4F"/>
    <w:rsid w:val="00B748BA"/>
    <w:rsid w:val="00BB0133"/>
    <w:rsid w:val="00BC688C"/>
    <w:rsid w:val="00BE4F28"/>
    <w:rsid w:val="00BE7144"/>
    <w:rsid w:val="00BF0224"/>
    <w:rsid w:val="00BF4F6D"/>
    <w:rsid w:val="00C07273"/>
    <w:rsid w:val="00C11E25"/>
    <w:rsid w:val="00C23AB8"/>
    <w:rsid w:val="00C33A8B"/>
    <w:rsid w:val="00C42293"/>
    <w:rsid w:val="00C74E3E"/>
    <w:rsid w:val="00C855F6"/>
    <w:rsid w:val="00CD7BFA"/>
    <w:rsid w:val="00CF47CE"/>
    <w:rsid w:val="00CF68A3"/>
    <w:rsid w:val="00CF78CB"/>
    <w:rsid w:val="00D05A1E"/>
    <w:rsid w:val="00D11AD2"/>
    <w:rsid w:val="00D1260D"/>
    <w:rsid w:val="00D16600"/>
    <w:rsid w:val="00D2324C"/>
    <w:rsid w:val="00D44482"/>
    <w:rsid w:val="00D52A2C"/>
    <w:rsid w:val="00D56F9C"/>
    <w:rsid w:val="00D638F9"/>
    <w:rsid w:val="00D6573F"/>
    <w:rsid w:val="00D67554"/>
    <w:rsid w:val="00D71648"/>
    <w:rsid w:val="00D742F3"/>
    <w:rsid w:val="00D80403"/>
    <w:rsid w:val="00D92156"/>
    <w:rsid w:val="00DA122B"/>
    <w:rsid w:val="00DA44BA"/>
    <w:rsid w:val="00DB4701"/>
    <w:rsid w:val="00DC1AD5"/>
    <w:rsid w:val="00DC1CE1"/>
    <w:rsid w:val="00DE0AFE"/>
    <w:rsid w:val="00DE5034"/>
    <w:rsid w:val="00DF3E2B"/>
    <w:rsid w:val="00DF6A76"/>
    <w:rsid w:val="00E00E7F"/>
    <w:rsid w:val="00E14A05"/>
    <w:rsid w:val="00E165EF"/>
    <w:rsid w:val="00E24D98"/>
    <w:rsid w:val="00E25712"/>
    <w:rsid w:val="00E315DA"/>
    <w:rsid w:val="00E34FFC"/>
    <w:rsid w:val="00E44B66"/>
    <w:rsid w:val="00E47C19"/>
    <w:rsid w:val="00E5054A"/>
    <w:rsid w:val="00E50912"/>
    <w:rsid w:val="00E526AF"/>
    <w:rsid w:val="00E622E1"/>
    <w:rsid w:val="00E62779"/>
    <w:rsid w:val="00E70D54"/>
    <w:rsid w:val="00E818F3"/>
    <w:rsid w:val="00E81B8A"/>
    <w:rsid w:val="00E8563A"/>
    <w:rsid w:val="00E94F14"/>
    <w:rsid w:val="00EA363F"/>
    <w:rsid w:val="00EB7F8B"/>
    <w:rsid w:val="00EC2E8C"/>
    <w:rsid w:val="00ED4D1E"/>
    <w:rsid w:val="00ED59F2"/>
    <w:rsid w:val="00ED6703"/>
    <w:rsid w:val="00ED7D3A"/>
    <w:rsid w:val="00EE4E5A"/>
    <w:rsid w:val="00EF0CCD"/>
    <w:rsid w:val="00EF3530"/>
    <w:rsid w:val="00F03EC3"/>
    <w:rsid w:val="00F27B38"/>
    <w:rsid w:val="00F27F61"/>
    <w:rsid w:val="00F350A1"/>
    <w:rsid w:val="00F547DF"/>
    <w:rsid w:val="00F636D5"/>
    <w:rsid w:val="00F668CB"/>
    <w:rsid w:val="00F675E3"/>
    <w:rsid w:val="00F8085E"/>
    <w:rsid w:val="00F82CAD"/>
    <w:rsid w:val="00F82FCC"/>
    <w:rsid w:val="00F8415A"/>
    <w:rsid w:val="00F92F07"/>
    <w:rsid w:val="00FA122C"/>
    <w:rsid w:val="00FA6C0D"/>
    <w:rsid w:val="00FD692B"/>
    <w:rsid w:val="00FE0EEA"/>
    <w:rsid w:val="00FE502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94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F.758/en" TargetMode="External"/><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6.png"/><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hyperlink" Target="mailto:Donald.Nellis@faa.gov"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F.1245/en"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hyperlink" Target="https://www.itu.int/rec/R-REC-F.1245/en" TargetMode="External"/><Relationship Id="rId10" Type="http://schemas.openxmlformats.org/officeDocument/2006/relationships/hyperlink" Target="https://www.itu.int/rec/R-REC-F.1108/en" TargetMode="External"/><Relationship Id="rId19" Type="http://schemas.openxmlformats.org/officeDocument/2006/relationships/image" Target="media/image7.png"/><Relationship Id="rId31" Type="http://schemas.openxmlformats.org/officeDocument/2006/relationships/image" Target="media/image19.emf"/><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s://www.itu.int/rec/R-REC-F.758/en" TargetMode="Externa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0.png"/><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hyperlink" Target="https://www.itu.int/rec/R-REC-M.1643/en"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5.png"/><Relationship Id="rId46" Type="http://schemas.openxmlformats.org/officeDocument/2006/relationships/header" Target="header1.xml"/><Relationship Id="rId20" Type="http://schemas.openxmlformats.org/officeDocument/2006/relationships/image" Target="media/image8.emf"/><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4210</Words>
  <Characters>24002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28156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2021-03-03T18:07:00Z</dcterms:created>
  <dcterms:modified xsi:type="dcterms:W3CDTF">2021-03-03T18:30:00Z</dcterms:modified>
</cp:coreProperties>
</file>