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8C947" w14:textId="1B4C49BD" w:rsidR="00380FDA" w:rsidRDefault="00652BC0"/>
    <w:p w14:paraId="58B599BF" w14:textId="49D8162B" w:rsidR="0028753D" w:rsidRDefault="0028753D"/>
    <w:p w14:paraId="01D74B0A" w14:textId="3B6662D3" w:rsidR="0028753D" w:rsidRDefault="0028753D"/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28753D" w:rsidRPr="00A02BF0" w14:paraId="3EA618B7" w14:textId="77777777" w:rsidTr="007F5773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A4A862A" w14:textId="77777777" w:rsidR="0028753D" w:rsidRPr="00A02BF0" w:rsidRDefault="0028753D" w:rsidP="007F5773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809E514" w14:textId="77777777" w:rsidR="0028753D" w:rsidRPr="00A02BF0" w:rsidRDefault="0028753D" w:rsidP="007F5773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28753D" w:rsidRPr="00E87AE0" w14:paraId="62B29DAA" w14:textId="77777777" w:rsidTr="007F5773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050F0644" w14:textId="530E73B5" w:rsidR="0028753D" w:rsidRPr="00A02BF0" w:rsidRDefault="0028753D" w:rsidP="007F5773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5B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C7013C1" w14:textId="198F80F6" w:rsidR="0028753D" w:rsidRPr="00903E04" w:rsidRDefault="0028753D" w:rsidP="007F5773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r w:rsidR="00652BC0">
              <w:t xml:space="preserve"> USWP5B27-01-FS</w:t>
            </w:r>
            <w:bookmarkStart w:id="0" w:name="_GoBack"/>
            <w:bookmarkEnd w:id="0"/>
          </w:p>
        </w:tc>
      </w:tr>
      <w:tr w:rsidR="0028753D" w:rsidRPr="00A02BF0" w14:paraId="37155314" w14:textId="77777777" w:rsidTr="007F5773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795778B1" w14:textId="16F80C38" w:rsidR="0028753D" w:rsidRPr="00A02BF0" w:rsidRDefault="0028753D" w:rsidP="007F577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BBE1AC2" w14:textId="3E706157" w:rsidR="0028753D" w:rsidRPr="00A02BF0" w:rsidRDefault="0028753D" w:rsidP="007F5773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12 July 2021</w:t>
            </w:r>
          </w:p>
        </w:tc>
      </w:tr>
      <w:tr w:rsidR="0028753D" w:rsidRPr="00A02BF0" w14:paraId="326A5BE0" w14:textId="77777777" w:rsidTr="007F5773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820EE7F" w14:textId="75D69F88" w:rsidR="0028753D" w:rsidRPr="00E126AC" w:rsidRDefault="0028753D" w:rsidP="007F5773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Working Documents towards Preliminary Draft Report on Terahertz Time Domain Spectroscopy as a Radiodetermination Service above 71 GHz </w:t>
            </w:r>
          </w:p>
        </w:tc>
      </w:tr>
      <w:tr w:rsidR="0028753D" w:rsidRPr="0078706C" w14:paraId="2CB6FCFC" w14:textId="77777777" w:rsidTr="007F5773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35535CC5" w14:textId="77777777" w:rsidR="0028753D" w:rsidRPr="00A02BF0" w:rsidRDefault="0028753D" w:rsidP="007F5773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A1AB47A" w14:textId="77777777" w:rsidR="0028753D" w:rsidRDefault="0028753D" w:rsidP="007F5773">
            <w:pPr>
              <w:ind w:right="144"/>
              <w:rPr>
                <w:bCs/>
                <w:iCs/>
              </w:rPr>
            </w:pPr>
          </w:p>
          <w:p w14:paraId="4D8A8E07" w14:textId="77777777" w:rsidR="0028753D" w:rsidRPr="001F32B5" w:rsidRDefault="0028753D" w:rsidP="007F5773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Michael Marcus</w:t>
            </w:r>
          </w:p>
          <w:p w14:paraId="577776FC" w14:textId="45B327C1" w:rsidR="0028753D" w:rsidRPr="001F32B5" w:rsidRDefault="0028753D" w:rsidP="007F5773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Marcus Spectrum Solutions LLC</w:t>
            </w:r>
          </w:p>
          <w:p w14:paraId="050900FE" w14:textId="4577B6A3" w:rsidR="0028753D" w:rsidRPr="001F32B5" w:rsidRDefault="0028753D" w:rsidP="007F5773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</w:p>
          <w:p w14:paraId="1CA6650E" w14:textId="4C96E6B7" w:rsidR="0028753D" w:rsidRPr="001F32B5" w:rsidRDefault="0028753D" w:rsidP="007F5773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Daniel Mittleman</w:t>
            </w:r>
          </w:p>
          <w:p w14:paraId="541DE374" w14:textId="73150451" w:rsidR="0028753D" w:rsidRPr="001F32B5" w:rsidRDefault="0028753D" w:rsidP="007F5773">
            <w:pPr>
              <w:ind w:left="144" w:right="144"/>
              <w:rPr>
                <w:rFonts w:ascii="Times New Roman" w:hAnsi="Times New Roman" w:cs="Times New Roman"/>
                <w:bCs/>
                <w:iCs/>
              </w:rPr>
            </w:pPr>
            <w:r w:rsidRPr="001F32B5">
              <w:rPr>
                <w:rFonts w:ascii="Times New Roman" w:hAnsi="Times New Roman" w:cs="Times New Roman"/>
                <w:bCs/>
                <w:iCs/>
              </w:rPr>
              <w:t>Brown University</w:t>
            </w:r>
          </w:p>
          <w:p w14:paraId="1D1C9696" w14:textId="77777777" w:rsidR="0028753D" w:rsidRDefault="0028753D" w:rsidP="007F5773">
            <w:pPr>
              <w:ind w:left="144" w:right="144"/>
              <w:rPr>
                <w:bCs/>
                <w:iCs/>
              </w:rPr>
            </w:pPr>
          </w:p>
          <w:p w14:paraId="6CC9C7B0" w14:textId="77777777" w:rsidR="0028753D" w:rsidRPr="00A02BF0" w:rsidRDefault="0028753D" w:rsidP="007F5773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3FEAAEB" w14:textId="77777777" w:rsidR="0028753D" w:rsidRPr="00D109F5" w:rsidRDefault="0028753D" w:rsidP="007F5773">
            <w:pPr>
              <w:ind w:right="144"/>
              <w:rPr>
                <w:b/>
                <w:bCs/>
              </w:rPr>
            </w:pPr>
          </w:p>
          <w:p w14:paraId="2BEFB624" w14:textId="77777777" w:rsidR="0028753D" w:rsidRDefault="0028753D" w:rsidP="007F5773">
            <w:pPr>
              <w:ind w:right="144"/>
              <w:rPr>
                <w:b/>
                <w:bCs/>
                <w:lang w:val="fr-FR"/>
              </w:rPr>
            </w:pPr>
          </w:p>
          <w:p w14:paraId="7C2FBB3E" w14:textId="035D4CC2" w:rsidR="0028753D" w:rsidRDefault="0028753D" w:rsidP="007F5773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 w:rsidR="001F32B5">
              <w:rPr>
                <w:bCs/>
                <w:lang w:val="fr-FR"/>
              </w:rPr>
              <w:t xml:space="preserve"> 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mjmarcus@marcus-spectrum.com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301-229-7714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br/>
            </w:r>
          </w:p>
          <w:p w14:paraId="1C81C857" w14:textId="7D011C65" w:rsidR="0028753D" w:rsidRPr="001F32B5" w:rsidRDefault="0028753D" w:rsidP="007F5773">
            <w:pPr>
              <w:ind w:right="144"/>
              <w:rPr>
                <w:rFonts w:ascii="Times New Roman" w:hAnsi="Times New Roman" w:cs="Times New Roman"/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>
              <w:t xml:space="preserve"> 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daniel_mittleman</w:t>
            </w:r>
            <w:r w:rsidR="007B26AA" w:rsidRPr="001F32B5">
              <w:rPr>
                <w:rFonts w:ascii="Times New Roman" w:hAnsi="Times New Roman" w:cs="Times New Roman"/>
                <w:bCs/>
                <w:lang w:val="fr-FR"/>
              </w:rPr>
              <w:t>@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brown</w:t>
            </w:r>
            <w:r w:rsidR="007B26AA" w:rsidRPr="001F32B5">
              <w:rPr>
                <w:rFonts w:ascii="Times New Roman" w:hAnsi="Times New Roman" w:cs="Times New Roman"/>
                <w:bCs/>
                <w:lang w:val="fr-FR"/>
              </w:rPr>
              <w:t>.</w:t>
            </w:r>
            <w:r w:rsidRPr="001F32B5">
              <w:rPr>
                <w:rFonts w:ascii="Times New Roman" w:hAnsi="Times New Roman" w:cs="Times New Roman"/>
                <w:bCs/>
                <w:lang w:val="fr-FR"/>
              </w:rPr>
              <w:t>edu</w:t>
            </w:r>
          </w:p>
          <w:p w14:paraId="02383C47" w14:textId="6D345F2A" w:rsidR="0028753D" w:rsidRDefault="0028753D" w:rsidP="0028753D"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t xml:space="preserve"> </w:t>
            </w:r>
            <w:r w:rsidRPr="001F32B5">
              <w:rPr>
                <w:rFonts w:ascii="Times New Roman" w:hAnsi="Times New Roman" w:cs="Times New Roman"/>
              </w:rPr>
              <w:t>401-863-9056</w:t>
            </w:r>
          </w:p>
          <w:p w14:paraId="64A1C2B1" w14:textId="426D1110" w:rsidR="0028753D" w:rsidRPr="00CC3AE1" w:rsidRDefault="0028753D" w:rsidP="007F5773">
            <w:pPr>
              <w:ind w:right="144"/>
              <w:rPr>
                <w:bCs/>
                <w:lang w:val="fr-FR"/>
              </w:rPr>
            </w:pPr>
          </w:p>
        </w:tc>
      </w:tr>
      <w:tr w:rsidR="0028753D" w:rsidRPr="00A02BF0" w14:paraId="3334BE4D" w14:textId="77777777" w:rsidTr="007F5773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3140C9E" w14:textId="30443010" w:rsidR="0028753D" w:rsidRPr="00A02BF0" w:rsidRDefault="0028753D" w:rsidP="007F577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Pr="001F32B5">
              <w:rPr>
                <w:rFonts w:ascii="Times New Roman" w:hAnsi="Times New Roman" w:cs="Times New Roman"/>
                <w:bCs/>
              </w:rPr>
              <w:t>To document the characteristics and spectrum needs of Terahertz Time Domain Spectroscopy as a Radiodetermination Service</w:t>
            </w:r>
          </w:p>
        </w:tc>
      </w:tr>
      <w:tr w:rsidR="0028753D" w:rsidRPr="00A02BF0" w14:paraId="7880581F" w14:textId="77777777" w:rsidTr="007F5773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9754C98" w14:textId="30DB7448" w:rsidR="0028753D" w:rsidRPr="001F32B5" w:rsidRDefault="0028753D" w:rsidP="007F5773">
            <w:pPr>
              <w:pStyle w:val="NormalWeb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>
              <w:rPr>
                <w:bCs/>
              </w:rPr>
              <w:t xml:space="preserve">This input will describe the need for and characteristics of </w:t>
            </w:r>
            <w:r w:rsidRPr="0028753D">
              <w:rPr>
                <w:bCs/>
              </w:rPr>
              <w:t>Terahertz Time Domain Spectroscopy</w:t>
            </w:r>
            <w:r>
              <w:rPr>
                <w:bCs/>
              </w:rPr>
              <w:t xml:space="preserve"> (</w:t>
            </w:r>
            <w:r w:rsidR="00395C6E">
              <w:rPr>
                <w:bCs/>
              </w:rPr>
              <w:t>often</w:t>
            </w:r>
            <w:r>
              <w:rPr>
                <w:bCs/>
              </w:rPr>
              <w:t xml:space="preserve"> referred to as </w:t>
            </w:r>
            <w:r w:rsidR="00BF33BF">
              <w:rPr>
                <w:bCs/>
              </w:rPr>
              <w:t>“</w:t>
            </w:r>
            <w:r>
              <w:rPr>
                <w:bCs/>
              </w:rPr>
              <w:t xml:space="preserve">Terahertz </w:t>
            </w:r>
            <w:r w:rsidR="00BF33BF">
              <w:rPr>
                <w:bCs/>
              </w:rPr>
              <w:t>S</w:t>
            </w:r>
            <w:r>
              <w:rPr>
                <w:bCs/>
              </w:rPr>
              <w:t>pectroscopy</w:t>
            </w:r>
            <w:r w:rsidR="00BF33BF">
              <w:rPr>
                <w:bCs/>
              </w:rPr>
              <w:t>”</w:t>
            </w:r>
            <w:r>
              <w:rPr>
                <w:bCs/>
              </w:rPr>
              <w:t xml:space="preserve"> </w:t>
            </w:r>
            <w:r w:rsidR="009B50EA">
              <w:rPr>
                <w:bCs/>
              </w:rPr>
              <w:t xml:space="preserve">in the technical literature </w:t>
            </w:r>
            <w:r>
              <w:rPr>
                <w:bCs/>
              </w:rPr>
              <w:t>although in radio astronomy circles th</w:t>
            </w:r>
            <w:r w:rsidR="009B50EA">
              <w:rPr>
                <w:bCs/>
              </w:rPr>
              <w:t>e latter</w:t>
            </w:r>
            <w:r>
              <w:rPr>
                <w:bCs/>
              </w:rPr>
              <w:t xml:space="preserve"> term has a </w:t>
            </w:r>
            <w:r w:rsidR="009B50EA">
              <w:rPr>
                <w:bCs/>
              </w:rPr>
              <w:t xml:space="preserve">narrower related </w:t>
            </w:r>
            <w:r>
              <w:rPr>
                <w:bCs/>
              </w:rPr>
              <w:t xml:space="preserve">meaning).  This technology was developed in the 1990s and was </w:t>
            </w:r>
            <w:r w:rsidR="007B26AA">
              <w:rPr>
                <w:bCs/>
              </w:rPr>
              <w:t xml:space="preserve">adapted </w:t>
            </w:r>
            <w:r>
              <w:rPr>
                <w:bCs/>
              </w:rPr>
              <w:t xml:space="preserve">by NASA for </w:t>
            </w:r>
            <w:r w:rsidR="001F32B5">
              <w:rPr>
                <w:bCs/>
              </w:rPr>
              <w:t xml:space="preserve">critical </w:t>
            </w:r>
            <w:r>
              <w:rPr>
                <w:bCs/>
              </w:rPr>
              <w:t xml:space="preserve">safety-related nondestructive testing uses </w:t>
            </w:r>
            <w:r w:rsidR="007B26AA">
              <w:rPr>
                <w:bCs/>
              </w:rPr>
              <w:t xml:space="preserve">in Space Shuttle program </w:t>
            </w:r>
            <w:r>
              <w:rPr>
                <w:bCs/>
              </w:rPr>
              <w:t>in the 200</w:t>
            </w:r>
            <w:r w:rsidR="007B26AA">
              <w:rPr>
                <w:bCs/>
              </w:rPr>
              <w:t>0</w:t>
            </w:r>
            <w:r>
              <w:rPr>
                <w:bCs/>
              </w:rPr>
              <w:t>s.</w:t>
            </w:r>
            <w:r w:rsidR="007B26AA">
              <w:rPr>
                <w:bCs/>
              </w:rPr>
              <w:t xml:space="preserve"> </w:t>
            </w:r>
            <w:r w:rsidR="009B50EA">
              <w:rPr>
                <w:bCs/>
              </w:rPr>
              <w:t>The technology using narrow impulses to generate signals wide</w:t>
            </w:r>
            <w:r w:rsidR="00395C6E">
              <w:rPr>
                <w:bCs/>
              </w:rPr>
              <w:t>r</w:t>
            </w:r>
            <w:r w:rsidR="009B50EA">
              <w:rPr>
                <w:bCs/>
              </w:rPr>
              <w:t xml:space="preserve"> than 100 GHz for short range (&lt;1m) sensing. Such </w:t>
            </w:r>
            <w:r w:rsidR="007B26AA">
              <w:rPr>
                <w:bCs/>
              </w:rPr>
              <w:t>technology is manufactured in several countries, used by NASA and US military and is sold commercially for applications such as real time quality control of many manufacturing processes.  However, it</w:t>
            </w:r>
            <w:r w:rsidR="001F32B5">
              <w:rPr>
                <w:bCs/>
              </w:rPr>
              <w:t>s use</w:t>
            </w:r>
            <w:r w:rsidR="007B26AA">
              <w:rPr>
                <w:bCs/>
              </w:rPr>
              <w:t xml:space="preserve"> violates the terms of </w:t>
            </w:r>
            <w:r w:rsidR="007B26AA">
              <w:rPr>
                <w:b/>
              </w:rPr>
              <w:t>5.340</w:t>
            </w:r>
            <w:r w:rsidR="001F32B5">
              <w:rPr>
                <w:b/>
              </w:rPr>
              <w:t xml:space="preserve">, </w:t>
            </w:r>
            <w:r w:rsidR="001F32B5" w:rsidRPr="001F32B5">
              <w:rPr>
                <w:bCs/>
              </w:rPr>
              <w:t>except when used in Faraday cages,</w:t>
            </w:r>
            <w:r w:rsidR="007B26AA" w:rsidRPr="001F32B5">
              <w:rPr>
                <w:bCs/>
              </w:rPr>
              <w:t xml:space="preserve"> in that it</w:t>
            </w:r>
            <w:r w:rsidR="001F32B5">
              <w:rPr>
                <w:bCs/>
              </w:rPr>
              <w:t xml:space="preserve"> </w:t>
            </w:r>
            <w:r w:rsidR="009B50EA">
              <w:rPr>
                <w:bCs/>
              </w:rPr>
              <w:t>overlaps</w:t>
            </w:r>
            <w:r w:rsidR="001F32B5">
              <w:rPr>
                <w:bCs/>
              </w:rPr>
              <w:t xml:space="preserve"> bands in which “all emissions are prohibited”.  Establishing this as a radio determination service use meets that </w:t>
            </w:r>
            <w:r w:rsidR="00BF33BF">
              <w:rPr>
                <w:bCs/>
              </w:rPr>
              <w:t xml:space="preserve">service </w:t>
            </w:r>
            <w:r w:rsidR="001F32B5">
              <w:rPr>
                <w:bCs/>
              </w:rPr>
              <w:t>definition and will permit sharing consideration under the terms of WRC-19 Res. 731</w:t>
            </w:r>
            <w:r w:rsidR="00BC0F5B">
              <w:rPr>
                <w:bCs/>
              </w:rPr>
              <w:t xml:space="preserve"> </w:t>
            </w:r>
            <w:r w:rsidR="00BF33BF">
              <w:rPr>
                <w:bCs/>
              </w:rPr>
              <w:t>-</w:t>
            </w:r>
            <w:r w:rsidR="00BC0F5B">
              <w:rPr>
                <w:bCs/>
              </w:rPr>
              <w:t xml:space="preserve"> originally proposed by the US as well as CEPT in WRC-2000</w:t>
            </w:r>
            <w:r w:rsidR="001F32B5">
              <w:rPr>
                <w:bCs/>
              </w:rPr>
              <w:t>.</w:t>
            </w:r>
          </w:p>
          <w:p w14:paraId="74082BAC" w14:textId="77777777" w:rsidR="0028753D" w:rsidRPr="00E16B99" w:rsidRDefault="0028753D" w:rsidP="007F577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61EA083A" w14:textId="77777777" w:rsidR="0028753D" w:rsidRDefault="0028753D"/>
    <w:sectPr w:rsidR="0028753D" w:rsidSect="0028753D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3D"/>
    <w:rsid w:val="001276E8"/>
    <w:rsid w:val="001F32B5"/>
    <w:rsid w:val="0028753D"/>
    <w:rsid w:val="00395C6E"/>
    <w:rsid w:val="00453313"/>
    <w:rsid w:val="004A53FD"/>
    <w:rsid w:val="00611B8B"/>
    <w:rsid w:val="00622CC3"/>
    <w:rsid w:val="00652BC0"/>
    <w:rsid w:val="007B26AA"/>
    <w:rsid w:val="008D2F12"/>
    <w:rsid w:val="009B50EA"/>
    <w:rsid w:val="00BC0F5B"/>
    <w:rsid w:val="00BF33BF"/>
    <w:rsid w:val="00C466D2"/>
    <w:rsid w:val="00E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A372"/>
  <w14:defaultImageDpi w14:val="32767"/>
  <w15:chartTrackingRefBased/>
  <w15:docId w15:val="{C9896790-2733-FE44-A0FC-F6B9628B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28753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basedOn w:val="DefaultParagraphFont"/>
    <w:link w:val="Heading2"/>
    <w:rsid w:val="0028753D"/>
    <w:rPr>
      <w:rFonts w:ascii="Times New Roman" w:eastAsia="Times New Roman" w:hAnsi="Times New Roman" w:cs="Times New Roman"/>
      <w:b/>
      <w:szCs w:val="20"/>
      <w:lang w:val="en-GB" w:eastAsia="en-US"/>
    </w:rPr>
  </w:style>
  <w:style w:type="paragraph" w:customStyle="1" w:styleId="TabletitleBR">
    <w:name w:val="Table_title_BR"/>
    <w:basedOn w:val="Normal"/>
    <w:next w:val="Normal"/>
    <w:qFormat/>
    <w:rsid w:val="0028753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7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87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marcus</dc:creator>
  <cp:keywords/>
  <dc:description/>
  <cp:lastModifiedBy>USA</cp:lastModifiedBy>
  <cp:revision>3</cp:revision>
  <dcterms:created xsi:type="dcterms:W3CDTF">2021-07-12T20:36:00Z</dcterms:created>
  <dcterms:modified xsi:type="dcterms:W3CDTF">2021-08-12T14:08:00Z</dcterms:modified>
</cp:coreProperties>
</file>