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24136BE0" w:rsidR="005D4C7A" w:rsidRPr="00A02BF0" w:rsidRDefault="005D4C7A" w:rsidP="00C531FA">
            <w:pPr>
              <w:spacing w:after="120"/>
              <w:ind w:left="144" w:right="144"/>
            </w:pPr>
            <w:r w:rsidRPr="00A02BF0">
              <w:rPr>
                <w:b/>
              </w:rPr>
              <w:t>Document No:</w:t>
            </w:r>
            <w:r w:rsidRPr="00A02BF0">
              <w:t xml:space="preserve">  USW</w:t>
            </w:r>
            <w:r>
              <w:t>P5B2</w:t>
            </w:r>
            <w:r w:rsidR="00FC6A3C">
              <w:t>8</w:t>
            </w:r>
            <w:r>
              <w:t>-</w:t>
            </w:r>
            <w:r w:rsidR="00FC6A3C">
              <w:t>X</w:t>
            </w:r>
          </w:p>
        </w:tc>
      </w:tr>
      <w:tr w:rsidR="005D4C7A" w:rsidRPr="00A02BF0" w14:paraId="617A39F8" w14:textId="77777777" w:rsidTr="00C531FA">
        <w:trPr>
          <w:trHeight w:val="378"/>
        </w:trPr>
        <w:tc>
          <w:tcPr>
            <w:tcW w:w="3984" w:type="dxa"/>
            <w:tcBorders>
              <w:left w:val="double" w:sz="6" w:space="0" w:color="auto"/>
            </w:tcBorders>
          </w:tcPr>
          <w:p w14:paraId="1BC13B47" w14:textId="596DD4E5" w:rsidR="005D4C7A" w:rsidRPr="00A02BF0" w:rsidRDefault="005D4C7A" w:rsidP="00C531FA">
            <w:pPr>
              <w:ind w:left="144" w:right="144"/>
            </w:pPr>
            <w:r w:rsidRPr="00A02BF0">
              <w:rPr>
                <w:b/>
              </w:rPr>
              <w:t>Ref:</w:t>
            </w:r>
            <w:r>
              <w:rPr>
                <w:b/>
              </w:rPr>
              <w:t xml:space="preserve">  </w:t>
            </w:r>
            <w:r>
              <w:rPr>
                <w:bCs/>
              </w:rPr>
              <w:t>5B/</w:t>
            </w:r>
            <w:r w:rsidR="00BE71CA">
              <w:rPr>
                <w:bCs/>
              </w:rPr>
              <w:t>481</w:t>
            </w:r>
            <w:r>
              <w:rPr>
                <w:bCs/>
              </w:rPr>
              <w:t xml:space="preserve"> Annex </w:t>
            </w:r>
            <w:r w:rsidR="00BE71CA">
              <w:rPr>
                <w:bCs/>
              </w:rPr>
              <w:t>14</w:t>
            </w:r>
          </w:p>
        </w:tc>
        <w:tc>
          <w:tcPr>
            <w:tcW w:w="5409" w:type="dxa"/>
            <w:tcBorders>
              <w:right w:val="double" w:sz="6" w:space="0" w:color="auto"/>
            </w:tcBorders>
          </w:tcPr>
          <w:p w14:paraId="5F0BC465" w14:textId="67C8BF07" w:rsidR="005D4C7A" w:rsidRPr="00A02BF0" w:rsidRDefault="005D4C7A" w:rsidP="00C531FA">
            <w:pPr>
              <w:tabs>
                <w:tab w:val="left" w:pos="162"/>
              </w:tabs>
              <w:ind w:left="612" w:right="144" w:hanging="468"/>
              <w:rPr>
                <w:szCs w:val="24"/>
              </w:rPr>
            </w:pPr>
            <w:r w:rsidRPr="1E192926">
              <w:rPr>
                <w:b/>
                <w:bCs/>
              </w:rPr>
              <w:t xml:space="preserve">Date: </w:t>
            </w:r>
            <w:r w:rsidR="008A387B">
              <w:rPr>
                <w:szCs w:val="24"/>
                <w:lang w:val="fr"/>
              </w:rPr>
              <w:t>25</w:t>
            </w:r>
            <w:r w:rsidRPr="1E192926">
              <w:rPr>
                <w:szCs w:val="24"/>
                <w:lang w:val="fr"/>
              </w:rPr>
              <w:t xml:space="preserve"> </w:t>
            </w:r>
            <w:proofErr w:type="spellStart"/>
            <w:r w:rsidR="00BE71CA">
              <w:rPr>
                <w:szCs w:val="24"/>
                <w:lang w:val="fr"/>
              </w:rPr>
              <w:t>January</w:t>
            </w:r>
            <w:proofErr w:type="spellEnd"/>
            <w:r w:rsidRPr="1E192926">
              <w:rPr>
                <w:szCs w:val="24"/>
                <w:lang w:val="fr"/>
              </w:rPr>
              <w:t xml:space="preserve"> 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M.[</w:t>
            </w:r>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Default="005D4C7A" w:rsidP="00C531FA">
            <w:pPr>
              <w:spacing w:before="0"/>
              <w:ind w:right="144"/>
              <w:rPr>
                <w:bCs/>
                <w:color w:val="000000"/>
                <w:szCs w:val="24"/>
                <w:lang w:val="en-US"/>
              </w:rPr>
            </w:pPr>
            <w:r w:rsidRPr="00542C37">
              <w:rPr>
                <w:bCs/>
                <w:color w:val="000000"/>
                <w:szCs w:val="24"/>
                <w:lang w:val="en-US"/>
              </w:rPr>
              <w:t>DSO</w:t>
            </w:r>
          </w:p>
          <w:p w14:paraId="0C8AC063" w14:textId="77777777" w:rsidR="00B46CBD" w:rsidRDefault="00B46CBD" w:rsidP="00C531FA">
            <w:pPr>
              <w:spacing w:before="0"/>
              <w:ind w:right="144"/>
              <w:rPr>
                <w:bCs/>
                <w:color w:val="000000"/>
                <w:szCs w:val="24"/>
                <w:lang w:val="en-US"/>
              </w:rPr>
            </w:pPr>
          </w:p>
          <w:p w14:paraId="4FC59B84" w14:textId="77777777" w:rsidR="00B46CBD" w:rsidRDefault="00B46CBD" w:rsidP="0028188A">
            <w:pPr>
              <w:spacing w:before="0"/>
              <w:rPr>
                <w:sz w:val="22"/>
                <w:lang w:val="en-US"/>
              </w:rPr>
            </w:pPr>
            <w:r>
              <w:t>Ryan Saunders</w:t>
            </w:r>
          </w:p>
          <w:p w14:paraId="086D0B1B" w14:textId="2E42BD0A" w:rsidR="00B46CBD" w:rsidRPr="00542C37" w:rsidRDefault="00B46CBD" w:rsidP="00C531FA">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r w:rsidRPr="006F661E">
              <w:rPr>
                <w:bCs/>
                <w:color w:val="000000"/>
                <w:szCs w:val="24"/>
                <w:lang w:val="fr-FR"/>
              </w:rPr>
              <w:t xml:space="preserve">Phone: </w:t>
            </w:r>
            <w:r>
              <w:t>334-467-4720</w:t>
            </w:r>
          </w:p>
          <w:p w14:paraId="3B70B910" w14:textId="77777777" w:rsidR="005D4C7A" w:rsidRPr="00D32197" w:rsidRDefault="005D4C7A" w:rsidP="00C531FA">
            <w:pPr>
              <w:spacing w:before="0"/>
              <w:ind w:right="-1195"/>
              <w:rPr>
                <w:color w:val="0000FF"/>
                <w:szCs w:val="24"/>
                <w:u w:val="single"/>
              </w:rPr>
            </w:pPr>
            <w:r w:rsidRPr="006F661E">
              <w:rPr>
                <w:bCs/>
                <w:color w:val="000000"/>
                <w:szCs w:val="24"/>
                <w:lang w:val="fr-FR"/>
              </w:rPr>
              <w:t>E</w:t>
            </w:r>
            <w:r>
              <w:rPr>
                <w:bCs/>
                <w:color w:val="000000"/>
                <w:szCs w:val="24"/>
                <w:lang w:val="fr-FR"/>
              </w:rPr>
              <w:t>-</w:t>
            </w:r>
            <w:r w:rsidRPr="006F661E">
              <w:rPr>
                <w:bCs/>
                <w:color w:val="000000"/>
                <w:szCs w:val="24"/>
                <w:lang w:val="fr-FR"/>
              </w:rPr>
              <w:t>mail:</w:t>
            </w:r>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5524C51D" w14:textId="5052EF34"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B8ECCBA" w14:textId="77777777" w:rsidR="00B46CBD" w:rsidRDefault="00B46CBD" w:rsidP="00C531FA">
            <w:pPr>
              <w:spacing w:before="0"/>
              <w:ind w:right="144"/>
              <w:textAlignment w:val="auto"/>
              <w:rPr>
                <w:bCs/>
                <w:color w:val="000000"/>
                <w:szCs w:val="24"/>
                <w:lang w:eastAsia="zh-CN"/>
              </w:rPr>
            </w:pPr>
          </w:p>
          <w:p w14:paraId="0ADDA4C2" w14:textId="210F7349" w:rsidR="00667BCB" w:rsidRPr="00542C37" w:rsidRDefault="00667BCB" w:rsidP="00667BCB">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5A9B821E" w14:textId="4B61B032" w:rsidR="00667BCB" w:rsidRDefault="00667BCB" w:rsidP="00667BCB">
            <w:pPr>
              <w:spacing w:before="0"/>
              <w:ind w:right="144"/>
              <w:textAlignment w:val="auto"/>
              <w:rPr>
                <w:bCs/>
                <w:color w:val="000000"/>
                <w:szCs w:val="24"/>
                <w:lang w:eastAsia="zh-CN"/>
              </w:rPr>
            </w:pPr>
            <w:r w:rsidRPr="0654023F">
              <w:rPr>
                <w:color w:val="000000" w:themeColor="text1"/>
                <w:lang w:eastAsia="zh-CN"/>
              </w:rPr>
              <w:t xml:space="preserve">E-mail: </w:t>
            </w:r>
            <w:r w:rsidR="00A42227" w:rsidRPr="00A42227">
              <w:rPr>
                <w:rStyle w:val="Hyperlink"/>
                <w:rFonts w:eastAsia="MS Mincho"/>
                <w:lang w:eastAsia="zh-CN"/>
              </w:rPr>
              <w:t>ryan.saunders4.civ@mail.mil</w:t>
            </w:r>
          </w:p>
          <w:p w14:paraId="74798FC0" w14:textId="77777777" w:rsidR="00667BCB" w:rsidRDefault="00667BCB" w:rsidP="00C531FA">
            <w:pPr>
              <w:spacing w:before="0"/>
              <w:ind w:right="144"/>
              <w:textAlignment w:val="auto"/>
              <w:rPr>
                <w:bCs/>
                <w:color w:val="000000"/>
                <w:szCs w:val="24"/>
                <w:lang w:eastAsia="zh-CN"/>
              </w:rPr>
            </w:pPr>
          </w:p>
          <w:p w14:paraId="7EAAC911" w14:textId="1ADB91EA"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2ACEB4EB"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M.[AMS-CHARACTERISTICS_1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2A57ABED" w:rsidR="005D4C7A" w:rsidRPr="004B7450" w:rsidRDefault="005D4C7A" w:rsidP="00C531FA">
            <w:pPr>
              <w:rPr>
                <w:bCs/>
              </w:rPr>
            </w:pPr>
            <w:r w:rsidRPr="0041530C">
              <w:rPr>
                <w:szCs w:val="24"/>
              </w:rPr>
              <w:t>WRC-19 approved AI 1.4 for the WRC-23 agenda, which is to conduct sharing studies between High Altitude Platform Stations as IMT Base Stations (HIBS) and existing services in a number of frequency bands.</w:t>
            </w:r>
            <w:r>
              <w:rPr>
                <w:szCs w:val="24"/>
              </w:rPr>
              <w:t xml:space="preserve"> Among the frequency bands under study for WRC-23 AI 1.4, there are no ITU-R Recommendations available for Aeronautical Mobile Services in band on 1780-1850 </w:t>
            </w:r>
            <w:proofErr w:type="spellStart"/>
            <w:r>
              <w:rPr>
                <w:szCs w:val="24"/>
              </w:rPr>
              <w:t>MHz.</w:t>
            </w:r>
            <w:proofErr w:type="spellEnd"/>
            <w:r>
              <w:rPr>
                <w:szCs w:val="24"/>
              </w:rPr>
              <w:t xml:space="preserve">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76A62BB7" w:rsidR="00F72377" w:rsidRDefault="00F72377">
      <w:pPr>
        <w:jc w:val="center"/>
      </w:pPr>
    </w:p>
    <w:sectPr w:rsidR="00F72377" w:rsidSect="00A06900">
      <w:footerReference w:type="first" r:id="rId15"/>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11A6" w14:textId="77777777" w:rsidR="00387285" w:rsidRDefault="00387285">
      <w:r>
        <w:separator/>
      </w:r>
    </w:p>
  </w:endnote>
  <w:endnote w:type="continuationSeparator" w:id="0">
    <w:p w14:paraId="63F0E490" w14:textId="77777777" w:rsidR="00387285" w:rsidRDefault="0038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0A4EE896" w:rsidR="00F72377" w:rsidRDefault="00164750">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r>
      <w:t>13.01.22</w:t>
    </w:r>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7976" w14:textId="77777777" w:rsidR="00387285" w:rsidRDefault="00387285">
      <w:r>
        <w:t>____________________</w:t>
      </w:r>
    </w:p>
  </w:footnote>
  <w:footnote w:type="continuationSeparator" w:id="0">
    <w:p w14:paraId="4B795E90" w14:textId="77777777" w:rsidR="00387285" w:rsidRDefault="00387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A6D80"/>
    <w:rsid w:val="0016139F"/>
    <w:rsid w:val="00164750"/>
    <w:rsid w:val="001B0DF6"/>
    <w:rsid w:val="0028188A"/>
    <w:rsid w:val="002A7654"/>
    <w:rsid w:val="002B3A09"/>
    <w:rsid w:val="00356688"/>
    <w:rsid w:val="00387285"/>
    <w:rsid w:val="003C2732"/>
    <w:rsid w:val="003E0503"/>
    <w:rsid w:val="003F55B2"/>
    <w:rsid w:val="00453A60"/>
    <w:rsid w:val="004A4E15"/>
    <w:rsid w:val="004A64EE"/>
    <w:rsid w:val="00520637"/>
    <w:rsid w:val="005D4C7A"/>
    <w:rsid w:val="00606DD3"/>
    <w:rsid w:val="006173FD"/>
    <w:rsid w:val="00634097"/>
    <w:rsid w:val="00667BCB"/>
    <w:rsid w:val="00671F8A"/>
    <w:rsid w:val="006B300A"/>
    <w:rsid w:val="00700804"/>
    <w:rsid w:val="007C0A5F"/>
    <w:rsid w:val="008771CE"/>
    <w:rsid w:val="008A387B"/>
    <w:rsid w:val="00936310"/>
    <w:rsid w:val="009B6437"/>
    <w:rsid w:val="00A06900"/>
    <w:rsid w:val="00A42227"/>
    <w:rsid w:val="00B46CBD"/>
    <w:rsid w:val="00B46E96"/>
    <w:rsid w:val="00B82EB7"/>
    <w:rsid w:val="00B862DD"/>
    <w:rsid w:val="00BA5B20"/>
    <w:rsid w:val="00BE71CA"/>
    <w:rsid w:val="00CB0480"/>
    <w:rsid w:val="00D22F63"/>
    <w:rsid w:val="00E05395"/>
    <w:rsid w:val="00EB5098"/>
    <w:rsid w:val="00F72377"/>
    <w:rsid w:val="00F81F98"/>
    <w:rsid w:val="00FC6A3C"/>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3.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DDA3E-3DB2-4C98-A455-A8F44BA31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28</TotalTime>
  <Pages>1</Pages>
  <Words>177</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AFSMO</cp:lastModifiedBy>
  <cp:revision>46</cp:revision>
  <cp:lastPrinted>2008-02-21T14:04:00Z</cp:lastPrinted>
  <dcterms:created xsi:type="dcterms:W3CDTF">2021-08-10T17:17:00Z</dcterms:created>
  <dcterms:modified xsi:type="dcterms:W3CDTF">2022-01-18T15:02:00Z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